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2B0B" w14:textId="77777777" w:rsidR="002D15F2" w:rsidRDefault="003A7EE9" w:rsidP="002D15F2">
      <w:pPr>
        <w:spacing w:after="120"/>
        <w:jc w:val="center"/>
        <w:rPr>
          <w:b/>
          <w:sz w:val="24"/>
          <w:szCs w:val="24"/>
        </w:rPr>
      </w:pPr>
      <w:r>
        <w:rPr>
          <w:noProof/>
        </w:rPr>
        <w:drawing>
          <wp:inline distT="0" distB="0" distL="0" distR="0" wp14:anchorId="28E4AA10" wp14:editId="53CA6167">
            <wp:extent cx="2594768" cy="838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78" t="17227" r="978" b="19580"/>
                    <a:stretch/>
                  </pic:blipFill>
                  <pic:spPr bwMode="auto">
                    <a:xfrm>
                      <a:off x="0" y="0"/>
                      <a:ext cx="2639621" cy="85268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10031" w:type="dxa"/>
        <w:tblLook w:val="04A0" w:firstRow="1" w:lastRow="0" w:firstColumn="1" w:lastColumn="0" w:noHBand="0" w:noVBand="1"/>
      </w:tblPr>
      <w:tblGrid>
        <w:gridCol w:w="1668"/>
        <w:gridCol w:w="8363"/>
      </w:tblGrid>
      <w:tr w:rsidR="00415295" w14:paraId="709BCC72" w14:textId="77777777" w:rsidTr="00C865A6">
        <w:tc>
          <w:tcPr>
            <w:tcW w:w="10031" w:type="dxa"/>
            <w:gridSpan w:val="2"/>
          </w:tcPr>
          <w:p w14:paraId="709BCC71" w14:textId="1F7CD952" w:rsidR="00415295" w:rsidRPr="00B067F0" w:rsidRDefault="00415295" w:rsidP="00415295">
            <w:pPr>
              <w:spacing w:before="120" w:after="120"/>
              <w:rPr>
                <w:sz w:val="24"/>
                <w:szCs w:val="24"/>
              </w:rPr>
            </w:pPr>
            <w:r>
              <w:rPr>
                <w:b/>
                <w:sz w:val="24"/>
                <w:szCs w:val="24"/>
              </w:rPr>
              <w:t>One Southwark Learning Partner</w:t>
            </w:r>
            <w:r w:rsidR="00313B1B">
              <w:rPr>
                <w:b/>
                <w:sz w:val="24"/>
                <w:szCs w:val="24"/>
              </w:rPr>
              <w:t>, Tender</w:t>
            </w:r>
            <w:r>
              <w:rPr>
                <w:b/>
                <w:sz w:val="24"/>
                <w:szCs w:val="24"/>
              </w:rPr>
              <w:t xml:space="preserve"> Brief, </w:t>
            </w:r>
            <w:r w:rsidR="005F3DEF">
              <w:rPr>
                <w:b/>
                <w:sz w:val="24"/>
                <w:szCs w:val="24"/>
              </w:rPr>
              <w:t>4 May</w:t>
            </w:r>
            <w:r w:rsidR="003D1D3F">
              <w:rPr>
                <w:b/>
                <w:sz w:val="24"/>
                <w:szCs w:val="24"/>
              </w:rPr>
              <w:t xml:space="preserve"> 2022</w:t>
            </w:r>
          </w:p>
        </w:tc>
      </w:tr>
      <w:tr w:rsidR="005A35EC" w14:paraId="709BCC76" w14:textId="77777777" w:rsidTr="00AA782A">
        <w:tc>
          <w:tcPr>
            <w:tcW w:w="1668" w:type="dxa"/>
          </w:tcPr>
          <w:p w14:paraId="709BCC73" w14:textId="1EC99E83" w:rsidR="005A35EC" w:rsidRPr="000D1BC0" w:rsidRDefault="00697647" w:rsidP="000D1BC0">
            <w:pPr>
              <w:rPr>
                <w:b/>
              </w:rPr>
            </w:pPr>
            <w:r>
              <w:rPr>
                <w:b/>
              </w:rPr>
              <w:t>Programme Lead</w:t>
            </w:r>
          </w:p>
        </w:tc>
        <w:tc>
          <w:tcPr>
            <w:tcW w:w="8363" w:type="dxa"/>
          </w:tcPr>
          <w:p w14:paraId="709BCC74" w14:textId="6841D580" w:rsidR="005A35EC" w:rsidRDefault="00697647" w:rsidP="00AD7DEE">
            <w:r>
              <w:t>Will Cole, Programme Director, One Southwark</w:t>
            </w:r>
            <w:r w:rsidR="008C0BE3">
              <w:t xml:space="preserve"> (hosted by United St Saviour’s Charity)</w:t>
            </w:r>
          </w:p>
          <w:p w14:paraId="709BCC75" w14:textId="77777777" w:rsidR="005A35EC" w:rsidRDefault="005A35EC"/>
        </w:tc>
      </w:tr>
      <w:tr w:rsidR="00A662E4" w14:paraId="709BCC7C" w14:textId="77777777" w:rsidTr="00AA782A">
        <w:tc>
          <w:tcPr>
            <w:tcW w:w="1668" w:type="dxa"/>
          </w:tcPr>
          <w:p w14:paraId="709BCC77" w14:textId="2569A9CA" w:rsidR="00A662E4" w:rsidRDefault="00E76268" w:rsidP="005441FE">
            <w:pPr>
              <w:spacing w:before="120"/>
              <w:rPr>
                <w:b/>
              </w:rPr>
            </w:pPr>
            <w:r>
              <w:rPr>
                <w:b/>
              </w:rPr>
              <w:t xml:space="preserve">Context </w:t>
            </w:r>
          </w:p>
        </w:tc>
        <w:tc>
          <w:tcPr>
            <w:tcW w:w="8363" w:type="dxa"/>
          </w:tcPr>
          <w:p w14:paraId="59FBFEBB" w14:textId="60239E67" w:rsidR="00E91D1C" w:rsidRDefault="00E91D1C" w:rsidP="004C6463">
            <w:pPr>
              <w:spacing w:before="120" w:after="120"/>
            </w:pPr>
            <w:r>
              <w:t>There are a number of Place</w:t>
            </w:r>
            <w:r w:rsidR="002C0363">
              <w:t>-</w:t>
            </w:r>
            <w:r>
              <w:t>Based G</w:t>
            </w:r>
            <w:r w:rsidRPr="00E91D1C">
              <w:t xml:space="preserve">iving schemes </w:t>
            </w:r>
            <w:r w:rsidR="00143E68">
              <w:t xml:space="preserve">in London </w:t>
            </w:r>
            <w:r w:rsidR="00071F32">
              <w:t xml:space="preserve">(and beyond) which aim to </w:t>
            </w:r>
            <w:r w:rsidR="00B14170">
              <w:t>build stronger and fairer boroughs through collective action</w:t>
            </w:r>
            <w:r w:rsidR="00192913">
              <w:t xml:space="preserve">. </w:t>
            </w:r>
            <w:r w:rsidR="00646888">
              <w:t xml:space="preserve"> </w:t>
            </w:r>
          </w:p>
          <w:p w14:paraId="6D410360" w14:textId="2956339C" w:rsidR="001F00F7" w:rsidRPr="00DC1811" w:rsidRDefault="001F00F7" w:rsidP="001F00F7">
            <w:pPr>
              <w:spacing w:after="120"/>
              <w:jc w:val="both"/>
              <w:rPr>
                <w:rFonts w:ascii="Calibri" w:hAnsi="Calibri" w:cs="Calibri"/>
                <w:lang w:eastAsia="en-GB"/>
              </w:rPr>
            </w:pPr>
            <w:r w:rsidRPr="00DC1811">
              <w:rPr>
                <w:rFonts w:ascii="Calibri" w:hAnsi="Calibri" w:cs="Calibri"/>
                <w:lang w:eastAsia="en-GB"/>
              </w:rPr>
              <w:t xml:space="preserve">One Southwark is </w:t>
            </w:r>
            <w:r w:rsidR="00571434">
              <w:rPr>
                <w:rFonts w:ascii="Calibri" w:hAnsi="Calibri" w:cs="Calibri"/>
                <w:lang w:eastAsia="en-GB"/>
              </w:rPr>
              <w:t xml:space="preserve">one of the more recent schemes to get off the ground and works </w:t>
            </w:r>
            <w:r w:rsidRPr="00DC1811">
              <w:rPr>
                <w:rFonts w:ascii="Calibri" w:hAnsi="Calibri" w:cs="Calibri"/>
                <w:lang w:eastAsia="en-GB"/>
              </w:rPr>
              <w:t>different</w:t>
            </w:r>
            <w:r w:rsidR="00E21847">
              <w:rPr>
                <w:rFonts w:ascii="Calibri" w:hAnsi="Calibri" w:cs="Calibri"/>
                <w:lang w:eastAsia="en-GB"/>
              </w:rPr>
              <w:t>ly to most of the others. Rather than just mobilise source funds and award grants to local groups, it is working directly with its target group</w:t>
            </w:r>
            <w:r w:rsidR="004C6463">
              <w:rPr>
                <w:rFonts w:ascii="Calibri" w:hAnsi="Calibri" w:cs="Calibri"/>
                <w:lang w:eastAsia="en-GB"/>
              </w:rPr>
              <w:t xml:space="preserve"> and </w:t>
            </w:r>
            <w:r w:rsidRPr="00DC1811">
              <w:rPr>
                <w:rFonts w:ascii="Calibri" w:hAnsi="Calibri" w:cs="Calibri"/>
                <w:lang w:eastAsia="en-GB"/>
              </w:rPr>
              <w:t>seek</w:t>
            </w:r>
            <w:r w:rsidR="004C6463">
              <w:rPr>
                <w:rFonts w:ascii="Calibri" w:hAnsi="Calibri" w:cs="Calibri"/>
                <w:lang w:eastAsia="en-GB"/>
              </w:rPr>
              <w:t>ing</w:t>
            </w:r>
            <w:r w:rsidRPr="00DC1811">
              <w:rPr>
                <w:rFonts w:ascii="Calibri" w:hAnsi="Calibri" w:cs="Calibri"/>
                <w:lang w:eastAsia="en-GB"/>
              </w:rPr>
              <w:t xml:space="preserve"> to change systems</w:t>
            </w:r>
            <w:r w:rsidR="005B3B15">
              <w:rPr>
                <w:rFonts w:ascii="Calibri" w:hAnsi="Calibri" w:cs="Calibri"/>
                <w:lang w:eastAsia="en-GB"/>
              </w:rPr>
              <w:t>, practice and behaviours</w:t>
            </w:r>
            <w:r w:rsidRPr="00DC1811">
              <w:rPr>
                <w:rFonts w:ascii="Calibri" w:hAnsi="Calibri" w:cs="Calibri"/>
                <w:lang w:eastAsia="en-GB"/>
              </w:rPr>
              <w:t xml:space="preserve"> </w:t>
            </w:r>
            <w:r w:rsidR="004C6463">
              <w:rPr>
                <w:rFonts w:ascii="Calibri" w:hAnsi="Calibri" w:cs="Calibri"/>
                <w:lang w:eastAsia="en-GB"/>
              </w:rPr>
              <w:t>for longer term change</w:t>
            </w:r>
            <w:r w:rsidRPr="00DC1811">
              <w:rPr>
                <w:rFonts w:ascii="Calibri" w:hAnsi="Calibri" w:cs="Calibri"/>
                <w:lang w:eastAsia="en-GB"/>
              </w:rPr>
              <w:t xml:space="preserve">. </w:t>
            </w:r>
          </w:p>
          <w:p w14:paraId="3E9213E2" w14:textId="566C671A" w:rsidR="00480D2C" w:rsidRPr="00E91D1C" w:rsidRDefault="004C6463" w:rsidP="00965977">
            <w:pPr>
              <w:spacing w:after="120"/>
              <w:rPr>
                <w:rFonts w:cstheme="minorHAnsi"/>
              </w:rPr>
            </w:pPr>
            <w:r>
              <w:rPr>
                <w:rFonts w:cstheme="minorHAnsi"/>
              </w:rPr>
              <w:t xml:space="preserve">The context is that </w:t>
            </w:r>
            <w:r w:rsidR="00E76268" w:rsidRPr="00E91D1C">
              <w:rPr>
                <w:rFonts w:cstheme="minorHAnsi"/>
              </w:rPr>
              <w:t>Southwark is a borough characterised by both wealth and poverty, and life chances are unequally spread. One of the groups most affected by the inequality is young people, with a shocking 40% growing up in poverty. Young people from poorer communities too often cannot access the opportunities that others take for granted.</w:t>
            </w:r>
            <w:r w:rsidR="00965977">
              <w:rPr>
                <w:rFonts w:cstheme="minorHAnsi"/>
              </w:rPr>
              <w:t xml:space="preserve"> </w:t>
            </w:r>
            <w:r w:rsidR="00E80073">
              <w:rPr>
                <w:rFonts w:cstheme="minorHAnsi"/>
              </w:rPr>
              <w:t xml:space="preserve"> </w:t>
            </w:r>
            <w:r w:rsidR="00480D2C" w:rsidRPr="00E91D1C">
              <w:rPr>
                <w:rFonts w:cstheme="minorHAnsi"/>
              </w:rPr>
              <w:t>One Southwark has been set up to level the playing field by finding ways for Southwark’s resources and opportunities to be shared</w:t>
            </w:r>
            <w:r w:rsidR="00965977">
              <w:rPr>
                <w:rFonts w:cstheme="minorHAnsi"/>
              </w:rPr>
              <w:t xml:space="preserve"> for the long term benefit of young people</w:t>
            </w:r>
            <w:r w:rsidR="00480D2C" w:rsidRPr="00E91D1C">
              <w:rPr>
                <w:rFonts w:cstheme="minorHAnsi"/>
              </w:rPr>
              <w:t xml:space="preserve">. </w:t>
            </w:r>
          </w:p>
          <w:p w14:paraId="709BCC7B" w14:textId="0E33466D" w:rsidR="00480D2C" w:rsidRPr="00E91D1C" w:rsidRDefault="00480D2C" w:rsidP="00D81E1B">
            <w:pPr>
              <w:spacing w:after="120"/>
              <w:rPr>
                <w:rFonts w:cstheme="minorHAnsi"/>
              </w:rPr>
            </w:pPr>
            <w:r w:rsidRPr="00E91D1C">
              <w:rPr>
                <w:rFonts w:cstheme="minorHAnsi"/>
              </w:rPr>
              <w:t xml:space="preserve">The </w:t>
            </w:r>
            <w:r w:rsidR="00D6526F">
              <w:rPr>
                <w:rFonts w:cstheme="minorHAnsi"/>
              </w:rPr>
              <w:t>scheme (or programme)</w:t>
            </w:r>
            <w:r w:rsidRPr="00E91D1C">
              <w:rPr>
                <w:rFonts w:cstheme="minorHAnsi"/>
              </w:rPr>
              <w:t xml:space="preserve"> is currently being </w:t>
            </w:r>
            <w:r w:rsidR="00BF63B1">
              <w:rPr>
                <w:rFonts w:cstheme="minorHAnsi"/>
              </w:rPr>
              <w:t>hosted by</w:t>
            </w:r>
            <w:r w:rsidRPr="00E91D1C">
              <w:rPr>
                <w:rFonts w:cstheme="minorHAnsi"/>
              </w:rPr>
              <w:t xml:space="preserve"> United St Saviour’s charity</w:t>
            </w:r>
            <w:r w:rsidR="001A7325">
              <w:rPr>
                <w:rFonts w:cstheme="minorHAnsi"/>
              </w:rPr>
              <w:t xml:space="preserve"> </w:t>
            </w:r>
            <w:hyperlink r:id="rId12" w:history="1">
              <w:r w:rsidR="00BA20AF" w:rsidRPr="004B0B82">
                <w:rPr>
                  <w:rStyle w:val="Hyperlink"/>
                  <w:rFonts w:cstheme="minorHAnsi"/>
                </w:rPr>
                <w:t>https://www.ustsc.org.uk/</w:t>
              </w:r>
            </w:hyperlink>
            <w:r w:rsidR="00BA20AF">
              <w:rPr>
                <w:rFonts w:cstheme="minorHAnsi"/>
              </w:rPr>
              <w:t xml:space="preserve">. </w:t>
            </w:r>
          </w:p>
        </w:tc>
      </w:tr>
      <w:tr w:rsidR="000D1FDD" w14:paraId="709BCC84" w14:textId="77777777" w:rsidTr="00AA782A">
        <w:tc>
          <w:tcPr>
            <w:tcW w:w="1668" w:type="dxa"/>
          </w:tcPr>
          <w:p w14:paraId="709BCC7D" w14:textId="4458B01E" w:rsidR="000D1FDD" w:rsidRDefault="00E76268" w:rsidP="005441FE">
            <w:pPr>
              <w:spacing w:before="120"/>
              <w:rPr>
                <w:b/>
              </w:rPr>
            </w:pPr>
            <w:r>
              <w:rPr>
                <w:b/>
              </w:rPr>
              <w:t>One Southwark</w:t>
            </w:r>
          </w:p>
        </w:tc>
        <w:tc>
          <w:tcPr>
            <w:tcW w:w="8363" w:type="dxa"/>
          </w:tcPr>
          <w:p w14:paraId="6E60086C" w14:textId="41C012D3" w:rsidR="008B4F51" w:rsidRDefault="008B4F51" w:rsidP="005441FE">
            <w:pPr>
              <w:spacing w:before="120" w:after="120"/>
              <w:jc w:val="both"/>
            </w:pPr>
            <w:r w:rsidRPr="00364217">
              <w:t xml:space="preserve">One Southwark </w:t>
            </w:r>
            <w:r w:rsidR="00865516">
              <w:t xml:space="preserve">has the overarching aim of transforming </w:t>
            </w:r>
            <w:r>
              <w:t xml:space="preserve">lives and opportunities </w:t>
            </w:r>
            <w:r w:rsidR="004D1AD7">
              <w:t xml:space="preserve">of under-represented </w:t>
            </w:r>
            <w:r>
              <w:t>young people through collective action.</w:t>
            </w:r>
            <w:r w:rsidR="00E00416">
              <w:t xml:space="preserve">  </w:t>
            </w:r>
            <w:r w:rsidR="003F7D3B">
              <w:t>It is a new concept and model</w:t>
            </w:r>
            <w:r w:rsidR="00E74ED6">
              <w:t xml:space="preserve">. </w:t>
            </w:r>
          </w:p>
          <w:p w14:paraId="1A1F5388" w14:textId="1FAAC332" w:rsidR="008502D3" w:rsidRPr="00DC1811" w:rsidRDefault="00E17D14" w:rsidP="008B4F51">
            <w:pPr>
              <w:spacing w:after="120"/>
              <w:jc w:val="both"/>
            </w:pPr>
            <w:r>
              <w:t>While</w:t>
            </w:r>
            <w:r w:rsidR="008B4F51">
              <w:t xml:space="preserve"> </w:t>
            </w:r>
            <w:r w:rsidR="004D1AD7">
              <w:t xml:space="preserve">hosted </w:t>
            </w:r>
            <w:r w:rsidR="008B4F51">
              <w:t>by United St Saviour’s charity</w:t>
            </w:r>
            <w:r>
              <w:t xml:space="preserve">, it has its own </w:t>
            </w:r>
            <w:r w:rsidR="00E33C54" w:rsidRPr="00DC1811">
              <w:t>Director</w:t>
            </w:r>
            <w:r w:rsidR="00BC7404">
              <w:t xml:space="preserve"> and </w:t>
            </w:r>
            <w:r w:rsidR="00E33C54" w:rsidRPr="00DC1811">
              <w:t xml:space="preserve">a </w:t>
            </w:r>
            <w:r w:rsidR="00BF63B1" w:rsidRPr="00E91D1C">
              <w:rPr>
                <w:rFonts w:cstheme="minorHAnsi"/>
              </w:rPr>
              <w:t>Coalition</w:t>
            </w:r>
            <w:r w:rsidR="00BF63B1" w:rsidRPr="00E91D1C">
              <w:rPr>
                <w:rStyle w:val="FootnoteReference"/>
                <w:rFonts w:cstheme="minorHAnsi"/>
              </w:rPr>
              <w:footnoteReference w:id="2"/>
            </w:r>
            <w:r w:rsidR="00BF63B1" w:rsidRPr="00E91D1C">
              <w:rPr>
                <w:rFonts w:cstheme="minorHAnsi"/>
              </w:rPr>
              <w:t xml:space="preserve"> </w:t>
            </w:r>
            <w:r w:rsidR="002C2701">
              <w:t xml:space="preserve">of </w:t>
            </w:r>
            <w:r w:rsidR="008B4F51" w:rsidRPr="00DC1811">
              <w:t>community stakeholders (businesses, funders,</w:t>
            </w:r>
            <w:r w:rsidR="00FA4671" w:rsidRPr="00DC1811">
              <w:t xml:space="preserve"> statutory agencies,</w:t>
            </w:r>
            <w:r w:rsidR="008B4F51" w:rsidRPr="00DC1811">
              <w:t xml:space="preserve"> charities and residents) who believe that the status quo can be challenged and that Southwark can become a fairer place.</w:t>
            </w:r>
          </w:p>
          <w:p w14:paraId="5B214602" w14:textId="510CFB18" w:rsidR="0077200B" w:rsidRPr="00DC1811" w:rsidRDefault="0077200B" w:rsidP="00FA4671">
            <w:pPr>
              <w:spacing w:after="120"/>
              <w:jc w:val="both"/>
              <w:rPr>
                <w:rFonts w:ascii="Calibri" w:hAnsi="Calibri" w:cs="Calibri"/>
                <w:lang w:eastAsia="en-GB"/>
              </w:rPr>
            </w:pPr>
            <w:r w:rsidRPr="00DC1811">
              <w:rPr>
                <w:rFonts w:ascii="Calibri" w:hAnsi="Calibri" w:cs="Calibri"/>
                <w:lang w:eastAsia="en-GB"/>
              </w:rPr>
              <w:t xml:space="preserve">Initially </w:t>
            </w:r>
            <w:r w:rsidR="00490F60" w:rsidRPr="00DC1811">
              <w:rPr>
                <w:rFonts w:ascii="Calibri" w:hAnsi="Calibri" w:cs="Calibri"/>
                <w:lang w:eastAsia="en-GB"/>
              </w:rPr>
              <w:t xml:space="preserve">One Southwark is working </w:t>
            </w:r>
            <w:r w:rsidRPr="00DC1811">
              <w:rPr>
                <w:rFonts w:ascii="Calibri" w:hAnsi="Calibri" w:cs="Calibri"/>
                <w:lang w:eastAsia="en-GB"/>
              </w:rPr>
              <w:t xml:space="preserve">with a small cohort of young people and a small coalition of agencies to </w:t>
            </w:r>
            <w:r w:rsidR="009018A2">
              <w:rPr>
                <w:rFonts w:ascii="Calibri" w:hAnsi="Calibri" w:cs="Calibri"/>
                <w:lang w:eastAsia="en-GB"/>
              </w:rPr>
              <w:t xml:space="preserve">test and </w:t>
            </w:r>
            <w:r w:rsidRPr="00DC1811">
              <w:rPr>
                <w:rFonts w:ascii="Calibri" w:hAnsi="Calibri" w:cs="Calibri"/>
                <w:lang w:eastAsia="en-GB"/>
              </w:rPr>
              <w:t>develop the proof of concept</w:t>
            </w:r>
            <w:r w:rsidR="00DE1E62" w:rsidRPr="00DC1811">
              <w:rPr>
                <w:rFonts w:ascii="Calibri" w:hAnsi="Calibri" w:cs="Calibri"/>
                <w:lang w:eastAsia="en-GB"/>
              </w:rPr>
              <w:t xml:space="preserve">. </w:t>
            </w:r>
            <w:r w:rsidRPr="00DC1811">
              <w:rPr>
                <w:rFonts w:ascii="Calibri" w:hAnsi="Calibri" w:cs="Calibri"/>
                <w:lang w:eastAsia="en-GB"/>
              </w:rPr>
              <w:t xml:space="preserve">A learning and influencing (L&amp;I) element will be woven into the fabric of the programme, running alongside the delivery for at least the first two years.  </w:t>
            </w:r>
          </w:p>
          <w:p w14:paraId="23601C7C" w14:textId="5400711D" w:rsidR="00E7573A" w:rsidRDefault="008B4F51" w:rsidP="00586941">
            <w:pPr>
              <w:spacing w:after="120"/>
              <w:jc w:val="both"/>
            </w:pPr>
            <w:r w:rsidRPr="00DC1811">
              <w:t xml:space="preserve">The first cohort of young people has been selected and we are now looking to appoint a learning partner to </w:t>
            </w:r>
            <w:r w:rsidR="00614A4F">
              <w:t>work</w:t>
            </w:r>
            <w:r w:rsidRPr="00DC1811">
              <w:t xml:space="preserve"> with the </w:t>
            </w:r>
            <w:r w:rsidR="00B55559">
              <w:t xml:space="preserve">team, the </w:t>
            </w:r>
            <w:r w:rsidRPr="00DC1811">
              <w:t xml:space="preserve">young people and </w:t>
            </w:r>
            <w:r w:rsidR="00B55559">
              <w:t>C</w:t>
            </w:r>
            <w:r w:rsidRPr="00DC1811">
              <w:t>oalition over the next two years.</w:t>
            </w:r>
          </w:p>
          <w:p w14:paraId="60018CC1" w14:textId="77777777" w:rsidR="0096725D" w:rsidRDefault="0096725D" w:rsidP="0096725D">
            <w:pPr>
              <w:spacing w:after="120"/>
              <w:jc w:val="both"/>
            </w:pPr>
            <w:r>
              <w:t>The p</w:t>
            </w:r>
            <w:r w:rsidRPr="00364217">
              <w:t xml:space="preserve">rinciples </w:t>
            </w:r>
            <w:r>
              <w:t xml:space="preserve">of the programme </w:t>
            </w:r>
            <w:r w:rsidRPr="00364217">
              <w:t>are that:</w:t>
            </w:r>
          </w:p>
          <w:p w14:paraId="3681A33A" w14:textId="7523F466" w:rsidR="0096725D" w:rsidRDefault="000C1498" w:rsidP="00C513A1">
            <w:pPr>
              <w:numPr>
                <w:ilvl w:val="0"/>
                <w:numId w:val="30"/>
              </w:numPr>
              <w:ind w:left="714" w:hanging="357"/>
              <w:jc w:val="both"/>
            </w:pPr>
            <w:r>
              <w:rPr>
                <w:b/>
                <w:bCs/>
              </w:rPr>
              <w:t>Collective action</w:t>
            </w:r>
            <w:r w:rsidR="00B21A26">
              <w:rPr>
                <w:b/>
                <w:bCs/>
              </w:rPr>
              <w:t>:</w:t>
            </w:r>
            <w:r w:rsidR="0096725D" w:rsidRPr="00364217">
              <w:rPr>
                <w:b/>
                <w:bCs/>
              </w:rPr>
              <w:t xml:space="preserve"> </w:t>
            </w:r>
            <w:r w:rsidR="00CC7E10" w:rsidRPr="00CC7E10">
              <w:t>w</w:t>
            </w:r>
            <w:r w:rsidR="0096725D" w:rsidRPr="00CC7E10">
              <w:t>h</w:t>
            </w:r>
            <w:r w:rsidR="0096725D" w:rsidRPr="00364217">
              <w:t>ether a local resident, a business, or a charity, everyone in Southwark can play their part by ‘giving’ money, in-kind support (e.g. time, skills, connections) and being advocates for change.</w:t>
            </w:r>
          </w:p>
          <w:p w14:paraId="265FBD1E" w14:textId="09E9D602" w:rsidR="0096725D" w:rsidRDefault="000A2354" w:rsidP="0096725D">
            <w:pPr>
              <w:numPr>
                <w:ilvl w:val="0"/>
                <w:numId w:val="30"/>
              </w:numPr>
              <w:jc w:val="both"/>
            </w:pPr>
            <w:r>
              <w:rPr>
                <w:b/>
                <w:bCs/>
              </w:rPr>
              <w:t xml:space="preserve">People are </w:t>
            </w:r>
            <w:r w:rsidR="0096725D" w:rsidRPr="00364217">
              <w:rPr>
                <w:b/>
                <w:bCs/>
              </w:rPr>
              <w:t>different</w:t>
            </w:r>
            <w:r w:rsidR="00245D53">
              <w:rPr>
                <w:b/>
                <w:bCs/>
              </w:rPr>
              <w:t>/the importance of being person-centred:</w:t>
            </w:r>
            <w:r w:rsidR="0096725D" w:rsidRPr="00364217">
              <w:rPr>
                <w:b/>
                <w:bCs/>
              </w:rPr>
              <w:t xml:space="preserve">  </w:t>
            </w:r>
            <w:r w:rsidR="00245D53" w:rsidRPr="00245D53">
              <w:t>y</w:t>
            </w:r>
            <w:r w:rsidR="0096725D" w:rsidRPr="00364217">
              <w:t xml:space="preserve">oung people and their individual experiences </w:t>
            </w:r>
            <w:r w:rsidR="00C513A1">
              <w:t xml:space="preserve">are </w:t>
            </w:r>
            <w:r w:rsidR="0096725D" w:rsidRPr="00364217">
              <w:t>at the heart</w:t>
            </w:r>
            <w:r w:rsidR="00C513A1">
              <w:t xml:space="preserve"> of the programme</w:t>
            </w:r>
            <w:r w:rsidR="008101D0">
              <w:t xml:space="preserve">. One Southwark will respond to their </w:t>
            </w:r>
            <w:r w:rsidR="0096725D" w:rsidRPr="00364217">
              <w:t>specific needs and aspirations.</w:t>
            </w:r>
          </w:p>
          <w:p w14:paraId="0E36C172" w14:textId="4DC0E361" w:rsidR="0096725D" w:rsidRPr="009558BE" w:rsidRDefault="0096725D" w:rsidP="0096725D">
            <w:pPr>
              <w:pStyle w:val="ListParagraph"/>
              <w:numPr>
                <w:ilvl w:val="0"/>
                <w:numId w:val="30"/>
              </w:numPr>
              <w:jc w:val="both"/>
              <w:rPr>
                <w:rFonts w:cstheme="minorHAnsi"/>
              </w:rPr>
            </w:pPr>
            <w:r w:rsidRPr="00422CB9">
              <w:rPr>
                <w:b/>
                <w:bCs/>
              </w:rPr>
              <w:lastRenderedPageBreak/>
              <w:t>The systems need to change.</w:t>
            </w:r>
            <w:r>
              <w:t xml:space="preserve"> The problem doesn’t sit with the young people themselves but with the systems</w:t>
            </w:r>
            <w:r w:rsidR="007360D0">
              <w:t xml:space="preserve"> </w:t>
            </w:r>
            <w:r w:rsidR="00C57E66">
              <w:t xml:space="preserve">and external factors surrounding </w:t>
            </w:r>
            <w:r w:rsidR="007360D0">
              <w:t>them</w:t>
            </w:r>
            <w:r>
              <w:t xml:space="preserve">. </w:t>
            </w:r>
          </w:p>
          <w:p w14:paraId="73D23D04" w14:textId="017470EA" w:rsidR="0096725D" w:rsidRPr="00D675C5" w:rsidRDefault="009558BE" w:rsidP="00940EB3">
            <w:pPr>
              <w:spacing w:before="120" w:after="120"/>
              <w:jc w:val="both"/>
              <w:rPr>
                <w:rFonts w:cstheme="minorHAnsi"/>
              </w:rPr>
            </w:pPr>
            <w:r>
              <w:rPr>
                <w:rFonts w:cstheme="minorHAnsi"/>
              </w:rPr>
              <w:t>The programme will provide the cohort of young people with</w:t>
            </w:r>
            <w:r w:rsidR="0096725D">
              <w:rPr>
                <w:rFonts w:cstheme="minorHAnsi"/>
              </w:rPr>
              <w:t>:</w:t>
            </w:r>
          </w:p>
          <w:p w14:paraId="637BBE02" w14:textId="3F34763D" w:rsidR="0096725D" w:rsidRPr="00D675C5" w:rsidRDefault="0096725D" w:rsidP="0096725D">
            <w:pPr>
              <w:pStyle w:val="NoSpacing"/>
              <w:numPr>
                <w:ilvl w:val="0"/>
                <w:numId w:val="31"/>
              </w:numPr>
            </w:pPr>
            <w:r w:rsidRPr="00D675C5">
              <w:rPr>
                <w:b/>
                <w:bCs/>
              </w:rPr>
              <w:t xml:space="preserve">Financial </w:t>
            </w:r>
            <w:r>
              <w:rPr>
                <w:b/>
                <w:bCs/>
              </w:rPr>
              <w:t xml:space="preserve">Support </w:t>
            </w:r>
            <w:r>
              <w:t>– U</w:t>
            </w:r>
            <w:r w:rsidRPr="00D675C5">
              <w:t>p to £3</w:t>
            </w:r>
            <w:r>
              <w:t>,000</w:t>
            </w:r>
            <w:r w:rsidRPr="00D675C5">
              <w:t xml:space="preserve"> to tackle</w:t>
            </w:r>
            <w:r w:rsidR="007B329A">
              <w:t xml:space="preserve"> the (</w:t>
            </w:r>
            <w:r>
              <w:t>often simple</w:t>
            </w:r>
            <w:r w:rsidR="007B329A">
              <w:t>)</w:t>
            </w:r>
            <w:r w:rsidRPr="00D675C5">
              <w:t xml:space="preserve"> things which hold them back </w:t>
            </w:r>
          </w:p>
          <w:p w14:paraId="1D3540CC" w14:textId="77777777" w:rsidR="0096725D" w:rsidRPr="00D675C5" w:rsidRDefault="0096725D" w:rsidP="0096725D">
            <w:pPr>
              <w:pStyle w:val="NoSpacing"/>
              <w:numPr>
                <w:ilvl w:val="0"/>
                <w:numId w:val="31"/>
              </w:numPr>
            </w:pPr>
            <w:r w:rsidRPr="00D675C5">
              <w:rPr>
                <w:b/>
                <w:bCs/>
              </w:rPr>
              <w:t>Personalised</w:t>
            </w:r>
            <w:r>
              <w:rPr>
                <w:b/>
                <w:bCs/>
              </w:rPr>
              <w:t xml:space="preserve"> Support</w:t>
            </w:r>
            <w:r w:rsidRPr="00D675C5">
              <w:t xml:space="preserve"> - </w:t>
            </w:r>
            <w:r>
              <w:t>M</w:t>
            </w:r>
            <w:r w:rsidRPr="00D675C5">
              <w:t>onthly one-to-one or group sessions focusing on their personal development and progression using experts and professionals</w:t>
            </w:r>
          </w:p>
          <w:p w14:paraId="709BCC83" w14:textId="4545C23A" w:rsidR="0096725D" w:rsidRPr="00E7573A" w:rsidRDefault="0096725D" w:rsidP="00446FDF">
            <w:pPr>
              <w:pStyle w:val="NoSpacing"/>
              <w:numPr>
                <w:ilvl w:val="0"/>
                <w:numId w:val="31"/>
              </w:numPr>
              <w:spacing w:after="120"/>
              <w:rPr>
                <w:rFonts w:cstheme="minorHAnsi"/>
              </w:rPr>
            </w:pPr>
            <w:r w:rsidRPr="00935943">
              <w:rPr>
                <w:b/>
                <w:bCs/>
              </w:rPr>
              <w:t>Circle of Support</w:t>
            </w:r>
            <w:r w:rsidRPr="00D675C5">
              <w:t xml:space="preserve"> – </w:t>
            </w:r>
            <w:r>
              <w:t>U</w:t>
            </w:r>
            <w:r w:rsidRPr="00D675C5">
              <w:t>tili</w:t>
            </w:r>
            <w:r>
              <w:t>s</w:t>
            </w:r>
            <w:r w:rsidRPr="00D675C5">
              <w:t xml:space="preserve">ing the members of the Coalition who will leverage their contacts, networks and resources to provide opportunities. </w:t>
            </w:r>
          </w:p>
        </w:tc>
      </w:tr>
      <w:tr w:rsidR="005A35EC" w14:paraId="709BCC88" w14:textId="77777777" w:rsidTr="00AA782A">
        <w:tc>
          <w:tcPr>
            <w:tcW w:w="1668" w:type="dxa"/>
          </w:tcPr>
          <w:p w14:paraId="709BCC85" w14:textId="5EAF65C9" w:rsidR="005A35EC" w:rsidRPr="00A662E4" w:rsidRDefault="008B6A75" w:rsidP="00331F16">
            <w:pPr>
              <w:spacing w:before="120" w:after="120"/>
              <w:rPr>
                <w:b/>
              </w:rPr>
            </w:pPr>
            <w:r>
              <w:rPr>
                <w:b/>
              </w:rPr>
              <w:lastRenderedPageBreak/>
              <w:t xml:space="preserve">Learning Partner </w:t>
            </w:r>
            <w:r w:rsidR="00C40286">
              <w:rPr>
                <w:b/>
              </w:rPr>
              <w:t xml:space="preserve">Scope and Purpose </w:t>
            </w:r>
          </w:p>
        </w:tc>
        <w:tc>
          <w:tcPr>
            <w:tcW w:w="8363" w:type="dxa"/>
          </w:tcPr>
          <w:p w14:paraId="60A93D98" w14:textId="4EF46BDB" w:rsidR="00586941" w:rsidRDefault="00096B7D" w:rsidP="005441FE">
            <w:pPr>
              <w:spacing w:before="120" w:after="120"/>
              <w:jc w:val="both"/>
            </w:pPr>
            <w:r>
              <w:t>The</w:t>
            </w:r>
            <w:r w:rsidR="00586941">
              <w:t xml:space="preserve"> learning and influencing (L&amp;I) component </w:t>
            </w:r>
            <w:r>
              <w:t xml:space="preserve">of the programme </w:t>
            </w:r>
            <w:r w:rsidR="00586941">
              <w:t>is critical to ensure impact beyond the</w:t>
            </w:r>
            <w:r>
              <w:t xml:space="preserve"> </w:t>
            </w:r>
            <w:r w:rsidR="00586941">
              <w:t>core group</w:t>
            </w:r>
            <w:r>
              <w:t xml:space="preserve"> of young people and the Coalition</w:t>
            </w:r>
            <w:r w:rsidR="00586941">
              <w:t>.  The research will:</w:t>
            </w:r>
          </w:p>
          <w:p w14:paraId="57ACD871" w14:textId="588A15F6" w:rsidR="00586941" w:rsidRDefault="00586941" w:rsidP="00E82168">
            <w:pPr>
              <w:pStyle w:val="ListParagraph"/>
              <w:numPr>
                <w:ilvl w:val="0"/>
                <w:numId w:val="26"/>
              </w:numPr>
              <w:spacing w:before="120" w:after="120"/>
              <w:ind w:hanging="360"/>
            </w:pPr>
            <w:r>
              <w:t>Through the perspective of young people, better understand the barriers to progression and systemic changes needed</w:t>
            </w:r>
          </w:p>
          <w:p w14:paraId="43211298" w14:textId="77777777" w:rsidR="00E82168" w:rsidRPr="00446FDF" w:rsidRDefault="00E82168" w:rsidP="00E82168">
            <w:pPr>
              <w:pStyle w:val="ListParagraph"/>
              <w:spacing w:before="120" w:after="120"/>
              <w:rPr>
                <w:sz w:val="16"/>
                <w:szCs w:val="16"/>
              </w:rPr>
            </w:pPr>
          </w:p>
          <w:p w14:paraId="299C48CA" w14:textId="6F7C82D9" w:rsidR="005F427E" w:rsidRDefault="00586941" w:rsidP="005F427E">
            <w:pPr>
              <w:pStyle w:val="ListParagraph"/>
              <w:numPr>
                <w:ilvl w:val="0"/>
                <w:numId w:val="26"/>
              </w:numPr>
              <w:spacing w:before="120" w:after="120"/>
              <w:ind w:hanging="360"/>
            </w:pPr>
            <w:r>
              <w:t xml:space="preserve">Explore the role and potential of community stakeholders (businesses, funders, residents with something to give, educational/other institutions) in reinforcing or overcoming these barriers. </w:t>
            </w:r>
          </w:p>
          <w:p w14:paraId="2C14F06B" w14:textId="77777777" w:rsidR="005F427E" w:rsidRPr="00446FDF" w:rsidRDefault="005F427E" w:rsidP="0099392E">
            <w:pPr>
              <w:pStyle w:val="ListParagraph"/>
              <w:spacing w:before="120" w:after="120"/>
              <w:rPr>
                <w:sz w:val="16"/>
                <w:szCs w:val="16"/>
              </w:rPr>
            </w:pPr>
          </w:p>
          <w:p w14:paraId="709BCC87" w14:textId="4B456C59" w:rsidR="00743B22" w:rsidRDefault="00586941" w:rsidP="00AB5774">
            <w:pPr>
              <w:pStyle w:val="ListParagraph"/>
              <w:numPr>
                <w:ilvl w:val="0"/>
                <w:numId w:val="26"/>
              </w:numPr>
              <w:spacing w:before="120" w:after="120"/>
              <w:ind w:hanging="360"/>
            </w:pPr>
            <w:r>
              <w:t>Develop the proof of concept in order to shape, expand or replicate the programme.</w:t>
            </w:r>
            <w:r w:rsidR="00A26DDF">
              <w:t xml:space="preserve">  The concept </w:t>
            </w:r>
            <w:r w:rsidR="00943F9B">
              <w:t>being based on the principle</w:t>
            </w:r>
            <w:r w:rsidR="00ED2E60">
              <w:t>s</w:t>
            </w:r>
            <w:r w:rsidR="00943F9B">
              <w:t xml:space="preserve"> of: collective action, system/</w:t>
            </w:r>
            <w:r w:rsidR="0022663A">
              <w:t>behaviour change</w:t>
            </w:r>
            <w:r w:rsidR="00F86F27">
              <w:t>, and a person-centred</w:t>
            </w:r>
            <w:r w:rsidR="004E06B7">
              <w:t xml:space="preserve"> approach. </w:t>
            </w:r>
          </w:p>
        </w:tc>
      </w:tr>
      <w:tr w:rsidR="005A35EC" w14:paraId="709BCC9A" w14:textId="77777777" w:rsidTr="00AA782A">
        <w:tc>
          <w:tcPr>
            <w:tcW w:w="1668" w:type="dxa"/>
          </w:tcPr>
          <w:p w14:paraId="709BCC92" w14:textId="4F4BE340" w:rsidR="005A35EC" w:rsidRPr="008477CD" w:rsidRDefault="006606BD" w:rsidP="00E77FD0">
            <w:pPr>
              <w:spacing w:before="120"/>
              <w:rPr>
                <w:b/>
              </w:rPr>
            </w:pPr>
            <w:r>
              <w:rPr>
                <w:b/>
              </w:rPr>
              <w:t>Main r</w:t>
            </w:r>
            <w:r w:rsidR="00AA782A">
              <w:rPr>
                <w:b/>
              </w:rPr>
              <w:t>esearch questions</w:t>
            </w:r>
            <w:r w:rsidR="00AB5774">
              <w:rPr>
                <w:b/>
              </w:rPr>
              <w:t xml:space="preserve"> </w:t>
            </w:r>
            <w:r w:rsidR="00AB5774" w:rsidRPr="00AB5774">
              <w:t>(to be fine-tuned once consultants appointed)</w:t>
            </w:r>
            <w:r w:rsidR="00CD3E2C" w:rsidRPr="00AB5774">
              <w:t>:</w:t>
            </w:r>
          </w:p>
        </w:tc>
        <w:tc>
          <w:tcPr>
            <w:tcW w:w="8363" w:type="dxa"/>
          </w:tcPr>
          <w:p w14:paraId="1D326967" w14:textId="77777777" w:rsidR="00F96E01" w:rsidRDefault="00F96E01" w:rsidP="00F96E01">
            <w:pPr>
              <w:pStyle w:val="ListParagraph"/>
              <w:numPr>
                <w:ilvl w:val="0"/>
                <w:numId w:val="29"/>
              </w:numPr>
              <w:spacing w:before="120" w:after="120"/>
            </w:pPr>
            <w:r>
              <w:t>What are the barriers to progress for young people (through the experience of the cohort)?</w:t>
            </w:r>
          </w:p>
          <w:p w14:paraId="3EDCB912" w14:textId="77777777" w:rsidR="004147BB" w:rsidRDefault="00F96E01" w:rsidP="00F96E01">
            <w:pPr>
              <w:pStyle w:val="ListParagraph"/>
              <w:numPr>
                <w:ilvl w:val="0"/>
                <w:numId w:val="29"/>
              </w:numPr>
              <w:spacing w:before="120" w:after="120"/>
            </w:pPr>
            <w:r>
              <w:t xml:space="preserve">What inputs are required to overcome barriers and to create opportunities for progress? </w:t>
            </w:r>
          </w:p>
          <w:p w14:paraId="320251DC" w14:textId="2262AEE8" w:rsidR="00F96E01" w:rsidRDefault="00F96E01" w:rsidP="00F96E01">
            <w:pPr>
              <w:pStyle w:val="ListParagraph"/>
              <w:numPr>
                <w:ilvl w:val="0"/>
                <w:numId w:val="29"/>
              </w:numPr>
              <w:spacing w:before="120" w:after="120"/>
            </w:pPr>
            <w:r>
              <w:t>What inputs and assets can be harnessed within the borough?</w:t>
            </w:r>
          </w:p>
          <w:p w14:paraId="51922EF1" w14:textId="7AA1434C" w:rsidR="00FA0027" w:rsidRDefault="007A769E" w:rsidP="000B5AE2">
            <w:pPr>
              <w:pStyle w:val="ListParagraph"/>
              <w:numPr>
                <w:ilvl w:val="0"/>
                <w:numId w:val="29"/>
              </w:numPr>
              <w:spacing w:before="120" w:after="120"/>
            </w:pPr>
            <w:r>
              <w:t xml:space="preserve">How does the model need to develop </w:t>
            </w:r>
            <w:r w:rsidR="00CA0412">
              <w:t xml:space="preserve">to maximise its </w:t>
            </w:r>
            <w:r w:rsidR="00B206B1">
              <w:t>potential</w:t>
            </w:r>
            <w:r w:rsidR="00CA0412">
              <w:t>?</w:t>
            </w:r>
            <w:r w:rsidR="00F80FCC">
              <w:t xml:space="preserve"> </w:t>
            </w:r>
            <w:r w:rsidR="009A02A4">
              <w:t>(</w:t>
            </w:r>
            <w:r w:rsidR="00F80FCC">
              <w:t xml:space="preserve">In terms of the coalition and partnership/the support model/the </w:t>
            </w:r>
            <w:r w:rsidR="00473D2C">
              <w:t>grants, etc)</w:t>
            </w:r>
          </w:p>
          <w:p w14:paraId="226AE7C1" w14:textId="6FD57975" w:rsidR="007A769E" w:rsidRDefault="00FA0027" w:rsidP="000B5AE2">
            <w:pPr>
              <w:pStyle w:val="ListParagraph"/>
              <w:numPr>
                <w:ilvl w:val="0"/>
                <w:numId w:val="29"/>
              </w:numPr>
              <w:spacing w:before="120" w:after="120"/>
            </w:pPr>
            <w:r>
              <w:t>Who does the programme need to engage</w:t>
            </w:r>
            <w:r w:rsidR="00CA0412">
              <w:t xml:space="preserve"> (</w:t>
            </w:r>
            <w:r w:rsidR="007A769E">
              <w:t>who needs to be around the table</w:t>
            </w:r>
            <w:r w:rsidR="00CA0412">
              <w:t>)</w:t>
            </w:r>
            <w:r w:rsidR="007A769E">
              <w:t xml:space="preserve"> to maximise the </w:t>
            </w:r>
            <w:r w:rsidR="00B70FB9">
              <w:t>potential of the model</w:t>
            </w:r>
            <w:r w:rsidR="007A769E">
              <w:t>?</w:t>
            </w:r>
          </w:p>
          <w:p w14:paraId="02AFDA42" w14:textId="25921CC5" w:rsidR="00B66CCE" w:rsidRDefault="00AC7E18" w:rsidP="00473D2C">
            <w:pPr>
              <w:pStyle w:val="ListParagraph"/>
              <w:numPr>
                <w:ilvl w:val="0"/>
                <w:numId w:val="29"/>
              </w:numPr>
              <w:spacing w:before="120" w:after="120"/>
            </w:pPr>
            <w:r>
              <w:t>What and who needs to change what they do</w:t>
            </w:r>
            <w:r w:rsidR="0082461A">
              <w:t>?</w:t>
            </w:r>
            <w:r w:rsidR="00E84F37">
              <w:t xml:space="preserve"> </w:t>
            </w:r>
            <w:r w:rsidR="004F3BAB">
              <w:t>How would this change</w:t>
            </w:r>
            <w:r w:rsidR="00BF57C3">
              <w:t xml:space="preserve"> enable young people </w:t>
            </w:r>
            <w:r w:rsidR="008840AC">
              <w:t>to progress?</w:t>
            </w:r>
          </w:p>
          <w:p w14:paraId="709BCC99" w14:textId="2D760B45" w:rsidR="00186606" w:rsidRDefault="00187E08" w:rsidP="00E02E0C">
            <w:pPr>
              <w:pStyle w:val="ListParagraph"/>
              <w:numPr>
                <w:ilvl w:val="0"/>
                <w:numId w:val="29"/>
              </w:numPr>
              <w:spacing w:before="120" w:after="120"/>
            </w:pPr>
            <w:r>
              <w:t xml:space="preserve">What is the </w:t>
            </w:r>
            <w:r w:rsidR="005D3D59">
              <w:t xml:space="preserve">practicality and feasibility </w:t>
            </w:r>
            <w:r>
              <w:t xml:space="preserve">of the model </w:t>
            </w:r>
            <w:r w:rsidR="007E53C6">
              <w:t>(based on the principles in 3 above)</w:t>
            </w:r>
            <w:r w:rsidR="003B08F6">
              <w:t>?</w:t>
            </w:r>
          </w:p>
        </w:tc>
      </w:tr>
      <w:tr w:rsidR="005A35EC" w14:paraId="709BCCA0" w14:textId="77777777" w:rsidTr="00AA782A">
        <w:tc>
          <w:tcPr>
            <w:tcW w:w="1668" w:type="dxa"/>
          </w:tcPr>
          <w:p w14:paraId="709BCC9B" w14:textId="77777777" w:rsidR="005A35EC" w:rsidRPr="00AA782A" w:rsidRDefault="006606BD" w:rsidP="00851ACC">
            <w:pPr>
              <w:spacing w:before="120"/>
              <w:rPr>
                <w:b/>
              </w:rPr>
            </w:pPr>
            <w:r>
              <w:rPr>
                <w:b/>
              </w:rPr>
              <w:t>Outputs:</w:t>
            </w:r>
          </w:p>
        </w:tc>
        <w:tc>
          <w:tcPr>
            <w:tcW w:w="8363" w:type="dxa"/>
          </w:tcPr>
          <w:p w14:paraId="2939E9EB" w14:textId="45F96384" w:rsidR="00742093" w:rsidRDefault="00E745F7" w:rsidP="00E745F7">
            <w:pPr>
              <w:spacing w:after="120"/>
              <w:rPr>
                <w:bCs/>
              </w:rPr>
            </w:pPr>
            <w:r>
              <w:rPr>
                <w:bCs/>
              </w:rPr>
              <w:t xml:space="preserve">Outputs </w:t>
            </w:r>
            <w:r w:rsidR="00F16E80">
              <w:rPr>
                <w:bCs/>
              </w:rPr>
              <w:t xml:space="preserve">and activities </w:t>
            </w:r>
            <w:r>
              <w:rPr>
                <w:bCs/>
              </w:rPr>
              <w:t xml:space="preserve">to include: </w:t>
            </w:r>
          </w:p>
          <w:p w14:paraId="61552D54" w14:textId="63A3BB26" w:rsidR="00D5109E" w:rsidRPr="00D5109E" w:rsidRDefault="00D5109E" w:rsidP="00E745F7">
            <w:pPr>
              <w:spacing w:after="120"/>
              <w:rPr>
                <w:bCs/>
                <w:u w:val="single"/>
              </w:rPr>
            </w:pPr>
            <w:r w:rsidRPr="00D5109E">
              <w:rPr>
                <w:bCs/>
                <w:u w:val="single"/>
              </w:rPr>
              <w:t>Process outputs:</w:t>
            </w:r>
          </w:p>
          <w:p w14:paraId="0EF1E520" w14:textId="4862118C" w:rsidR="007D1C64" w:rsidRDefault="007D1C64" w:rsidP="00E745F7">
            <w:pPr>
              <w:spacing w:after="120"/>
              <w:rPr>
                <w:bCs/>
              </w:rPr>
            </w:pPr>
            <w:r>
              <w:rPr>
                <w:bCs/>
              </w:rPr>
              <w:t>Research</w:t>
            </w:r>
            <w:r w:rsidR="00113573">
              <w:rPr>
                <w:bCs/>
              </w:rPr>
              <w:t xml:space="preserve"> and</w:t>
            </w:r>
            <w:r>
              <w:rPr>
                <w:bCs/>
              </w:rPr>
              <w:t xml:space="preserve"> design </w:t>
            </w:r>
            <w:r w:rsidR="00113573">
              <w:rPr>
                <w:bCs/>
              </w:rPr>
              <w:t xml:space="preserve">principles </w:t>
            </w:r>
            <w:r>
              <w:rPr>
                <w:bCs/>
              </w:rPr>
              <w:t>co-created with young people</w:t>
            </w:r>
            <w:r w:rsidR="002A7F3A">
              <w:rPr>
                <w:bCs/>
              </w:rPr>
              <w:t xml:space="preserve"> and the Coalition</w:t>
            </w:r>
          </w:p>
          <w:p w14:paraId="66A3BC0E" w14:textId="22B15273" w:rsidR="009A40B9" w:rsidRDefault="009F614F" w:rsidP="009A40B9">
            <w:pPr>
              <w:spacing w:after="120"/>
              <w:rPr>
                <w:bCs/>
              </w:rPr>
            </w:pPr>
            <w:r>
              <w:rPr>
                <w:bCs/>
              </w:rPr>
              <w:t xml:space="preserve">Interim reflections and iterations </w:t>
            </w:r>
            <w:r w:rsidR="009A2806">
              <w:rPr>
                <w:bCs/>
              </w:rPr>
              <w:t>fed into</w:t>
            </w:r>
            <w:r w:rsidR="00512B24">
              <w:rPr>
                <w:bCs/>
              </w:rPr>
              <w:t>, and informing</w:t>
            </w:r>
            <w:r w:rsidR="009A2806">
              <w:rPr>
                <w:bCs/>
              </w:rPr>
              <w:t xml:space="preserve"> the programme </w:t>
            </w:r>
          </w:p>
          <w:p w14:paraId="4369DE30" w14:textId="28398410" w:rsidR="009A40B9" w:rsidRDefault="009A40B9" w:rsidP="009A40B9">
            <w:pPr>
              <w:spacing w:after="120"/>
              <w:rPr>
                <w:bCs/>
              </w:rPr>
            </w:pPr>
            <w:r>
              <w:rPr>
                <w:bCs/>
              </w:rPr>
              <w:t>Presentations/workshops</w:t>
            </w:r>
            <w:r w:rsidR="00D51D1D">
              <w:rPr>
                <w:bCs/>
              </w:rPr>
              <w:t xml:space="preserve">/design sessions </w:t>
            </w:r>
          </w:p>
          <w:p w14:paraId="4D761EBC" w14:textId="0EF2344B" w:rsidR="00284300" w:rsidRPr="00284300" w:rsidRDefault="00284300" w:rsidP="00E745F7">
            <w:pPr>
              <w:spacing w:after="120"/>
              <w:rPr>
                <w:bCs/>
                <w:u w:val="single"/>
              </w:rPr>
            </w:pPr>
            <w:r>
              <w:rPr>
                <w:bCs/>
                <w:u w:val="single"/>
              </w:rPr>
              <w:t>Product outputs</w:t>
            </w:r>
          </w:p>
          <w:p w14:paraId="40DD2555" w14:textId="77777777" w:rsidR="009E622B" w:rsidRDefault="00C971CC" w:rsidP="00C971CC">
            <w:pPr>
              <w:spacing w:after="120"/>
              <w:rPr>
                <w:bCs/>
              </w:rPr>
            </w:pPr>
            <w:r>
              <w:rPr>
                <w:bCs/>
              </w:rPr>
              <w:t xml:space="preserve">Proof of concept </w:t>
            </w:r>
            <w:r w:rsidR="00E34B9C">
              <w:rPr>
                <w:bCs/>
              </w:rPr>
              <w:t>prototype</w:t>
            </w:r>
          </w:p>
          <w:p w14:paraId="709BCC9F" w14:textId="43211CF4" w:rsidR="003174E2" w:rsidRPr="00E745F7" w:rsidRDefault="004162C8" w:rsidP="00C971CC">
            <w:pPr>
              <w:spacing w:after="120"/>
              <w:rPr>
                <w:bCs/>
              </w:rPr>
            </w:pPr>
            <w:r>
              <w:rPr>
                <w:bCs/>
              </w:rPr>
              <w:t xml:space="preserve">Report </w:t>
            </w:r>
            <w:r w:rsidR="007B75AF">
              <w:rPr>
                <w:bCs/>
              </w:rPr>
              <w:t>(</w:t>
            </w:r>
            <w:r>
              <w:rPr>
                <w:bCs/>
              </w:rPr>
              <w:t xml:space="preserve">and </w:t>
            </w:r>
            <w:r w:rsidR="007B75AF">
              <w:rPr>
                <w:bCs/>
              </w:rPr>
              <w:t>potentially event) on findings, conclusions and recommendations</w:t>
            </w:r>
          </w:p>
        </w:tc>
      </w:tr>
      <w:tr w:rsidR="005A35EC" w14:paraId="709BCCA6" w14:textId="77777777" w:rsidTr="00AA782A">
        <w:tc>
          <w:tcPr>
            <w:tcW w:w="1668" w:type="dxa"/>
          </w:tcPr>
          <w:p w14:paraId="709BCCA1" w14:textId="18E69C8E" w:rsidR="005A35EC" w:rsidRDefault="00AA782A" w:rsidP="00851ACC">
            <w:pPr>
              <w:spacing w:before="120"/>
            </w:pPr>
            <w:r>
              <w:rPr>
                <w:b/>
              </w:rPr>
              <w:t>Timeframes</w:t>
            </w:r>
            <w:r w:rsidR="007254CE">
              <w:rPr>
                <w:b/>
              </w:rPr>
              <w:t>:</w:t>
            </w:r>
          </w:p>
        </w:tc>
        <w:tc>
          <w:tcPr>
            <w:tcW w:w="8363" w:type="dxa"/>
          </w:tcPr>
          <w:p w14:paraId="161157B3" w14:textId="54AA18A2" w:rsidR="005E6C41" w:rsidRDefault="005E6C41" w:rsidP="00851ACC">
            <w:pPr>
              <w:spacing w:before="120"/>
            </w:pPr>
            <w:r>
              <w:t xml:space="preserve">Send out brief </w:t>
            </w:r>
            <w:r w:rsidR="00E16A5B">
              <w:t>5</w:t>
            </w:r>
            <w:r w:rsidR="0094185B" w:rsidRPr="0094185B">
              <w:rPr>
                <w:vertAlign w:val="superscript"/>
              </w:rPr>
              <w:t>th</w:t>
            </w:r>
            <w:r w:rsidR="0094185B">
              <w:t xml:space="preserve"> </w:t>
            </w:r>
            <w:r>
              <w:t>May</w:t>
            </w:r>
          </w:p>
          <w:p w14:paraId="709BCCA2" w14:textId="494D600B" w:rsidR="003E2294" w:rsidRDefault="003E2294" w:rsidP="00851ACC">
            <w:pPr>
              <w:spacing w:before="120"/>
            </w:pPr>
            <w:r>
              <w:lastRenderedPageBreak/>
              <w:t>Consultants to</w:t>
            </w:r>
            <w:r w:rsidR="00077480">
              <w:t xml:space="preserve"> submit expressions of interest</w:t>
            </w:r>
            <w:r w:rsidR="00AB5774">
              <w:t xml:space="preserve"> </w:t>
            </w:r>
            <w:r w:rsidR="00BE6AF3">
              <w:t>26</w:t>
            </w:r>
            <w:r w:rsidR="008E166E">
              <w:t xml:space="preserve"> May,</w:t>
            </w:r>
            <w:r w:rsidR="009049CA">
              <w:t xml:space="preserve"> 2022 by 5pm </w:t>
            </w:r>
          </w:p>
          <w:p w14:paraId="2DE22C42" w14:textId="5C2ABAED" w:rsidR="00541DFC" w:rsidRPr="00E2490A" w:rsidRDefault="00F118CA" w:rsidP="00851ACC">
            <w:pPr>
              <w:spacing w:before="120"/>
              <w:rPr>
                <w:bCs/>
              </w:rPr>
            </w:pPr>
            <w:r>
              <w:rPr>
                <w:bCs/>
              </w:rPr>
              <w:t>S</w:t>
            </w:r>
            <w:r w:rsidR="00541DFC" w:rsidRPr="00E2490A">
              <w:rPr>
                <w:bCs/>
              </w:rPr>
              <w:t>hortlisted agencies contacted</w:t>
            </w:r>
            <w:r>
              <w:rPr>
                <w:bCs/>
              </w:rPr>
              <w:t xml:space="preserve"> by </w:t>
            </w:r>
            <w:r w:rsidR="005C7DE7">
              <w:rPr>
                <w:bCs/>
              </w:rPr>
              <w:t>6th</w:t>
            </w:r>
            <w:r>
              <w:rPr>
                <w:bCs/>
              </w:rPr>
              <w:t xml:space="preserve"> </w:t>
            </w:r>
            <w:r w:rsidRPr="00E2490A">
              <w:rPr>
                <w:bCs/>
              </w:rPr>
              <w:t>June</w:t>
            </w:r>
          </w:p>
          <w:p w14:paraId="43DA3F6F" w14:textId="639B8A62" w:rsidR="00541DFC" w:rsidRPr="0066794F" w:rsidRDefault="00DA1DF7" w:rsidP="00851ACC">
            <w:pPr>
              <w:spacing w:before="120"/>
              <w:rPr>
                <w:bCs/>
              </w:rPr>
            </w:pPr>
            <w:r w:rsidRPr="0066794F">
              <w:rPr>
                <w:bCs/>
              </w:rPr>
              <w:t xml:space="preserve">Interviews of shortlisted agencies at UStSC offices </w:t>
            </w:r>
            <w:r w:rsidR="00FD3BB9">
              <w:rPr>
                <w:bCs/>
              </w:rPr>
              <w:t>13</w:t>
            </w:r>
            <w:r w:rsidR="0066794F" w:rsidRPr="0066794F">
              <w:rPr>
                <w:bCs/>
                <w:vertAlign w:val="superscript"/>
              </w:rPr>
              <w:t>th</w:t>
            </w:r>
            <w:r w:rsidR="0066794F">
              <w:rPr>
                <w:bCs/>
              </w:rPr>
              <w:t xml:space="preserve"> </w:t>
            </w:r>
            <w:r w:rsidR="003D3550">
              <w:rPr>
                <w:bCs/>
              </w:rPr>
              <w:t>June</w:t>
            </w:r>
            <w:r w:rsidR="0066794F">
              <w:rPr>
                <w:bCs/>
              </w:rPr>
              <w:t xml:space="preserve"> between 10 and 2pm</w:t>
            </w:r>
          </w:p>
          <w:p w14:paraId="709BCCA5" w14:textId="31F42C0C" w:rsidR="00E3082B" w:rsidRPr="00591EAC" w:rsidRDefault="0066794F" w:rsidP="007254CE">
            <w:pPr>
              <w:spacing w:before="120" w:after="120"/>
              <w:rPr>
                <w:bCs/>
              </w:rPr>
            </w:pPr>
            <w:r>
              <w:t xml:space="preserve">Start date (ideally) </w:t>
            </w:r>
            <w:r w:rsidR="00E30CD2">
              <w:t xml:space="preserve">beginning of July, completion date June 2024 </w:t>
            </w:r>
          </w:p>
        </w:tc>
      </w:tr>
      <w:tr w:rsidR="007254CE" w14:paraId="54A69102" w14:textId="77777777" w:rsidTr="00AA782A">
        <w:tc>
          <w:tcPr>
            <w:tcW w:w="1668" w:type="dxa"/>
          </w:tcPr>
          <w:p w14:paraId="7B5CEDA4" w14:textId="67ED5CC2" w:rsidR="007254CE" w:rsidRDefault="007254CE" w:rsidP="00851ACC">
            <w:pPr>
              <w:spacing w:before="120" w:after="120"/>
              <w:rPr>
                <w:b/>
              </w:rPr>
            </w:pPr>
            <w:r>
              <w:rPr>
                <w:b/>
              </w:rPr>
              <w:lastRenderedPageBreak/>
              <w:t>Budget:</w:t>
            </w:r>
          </w:p>
        </w:tc>
        <w:tc>
          <w:tcPr>
            <w:tcW w:w="8363" w:type="dxa"/>
          </w:tcPr>
          <w:p w14:paraId="3715A6A3" w14:textId="67ED2097" w:rsidR="007254CE" w:rsidRDefault="007254CE" w:rsidP="00851ACC">
            <w:pPr>
              <w:spacing w:before="120"/>
            </w:pPr>
            <w:r w:rsidRPr="00591EAC">
              <w:rPr>
                <w:bCs/>
              </w:rPr>
              <w:t xml:space="preserve">The budget for this work is </w:t>
            </w:r>
            <w:r>
              <w:rPr>
                <w:bCs/>
              </w:rPr>
              <w:t xml:space="preserve">in the region of </w:t>
            </w:r>
            <w:r w:rsidRPr="00591EAC">
              <w:rPr>
                <w:bCs/>
              </w:rPr>
              <w:t>£40,000</w:t>
            </w:r>
          </w:p>
        </w:tc>
      </w:tr>
      <w:tr w:rsidR="005A35EC" w14:paraId="709BCCAA" w14:textId="77777777" w:rsidTr="00AA782A">
        <w:tc>
          <w:tcPr>
            <w:tcW w:w="1668" w:type="dxa"/>
          </w:tcPr>
          <w:p w14:paraId="709BCCA7" w14:textId="77777777" w:rsidR="005A35EC" w:rsidRDefault="005A35EC" w:rsidP="00851ACC">
            <w:pPr>
              <w:spacing w:before="120" w:after="120"/>
            </w:pPr>
            <w:r>
              <w:rPr>
                <w:b/>
              </w:rPr>
              <w:t>Methodology:</w:t>
            </w:r>
          </w:p>
        </w:tc>
        <w:tc>
          <w:tcPr>
            <w:tcW w:w="8363" w:type="dxa"/>
          </w:tcPr>
          <w:p w14:paraId="709BCCA8" w14:textId="58D230DA" w:rsidR="00072F65" w:rsidRDefault="005E129A" w:rsidP="00851ACC">
            <w:pPr>
              <w:spacing w:before="120"/>
            </w:pPr>
            <w:r>
              <w:t xml:space="preserve">Initial methodology is attached in Appendix 1, but </w:t>
            </w:r>
            <w:r w:rsidR="00DF5FC0">
              <w:t xml:space="preserve">we would expect this to be modified </w:t>
            </w:r>
            <w:r w:rsidR="006B7C6D">
              <w:t xml:space="preserve">following </w:t>
            </w:r>
            <w:r w:rsidR="00DF5FC0">
              <w:t>discussions with the learning partner</w:t>
            </w:r>
            <w:r w:rsidR="00851ACC">
              <w:t xml:space="preserve">. </w:t>
            </w:r>
          </w:p>
          <w:p w14:paraId="709BCCA9" w14:textId="77777777" w:rsidR="005E4627" w:rsidRDefault="005E4627" w:rsidP="00E92118"/>
        </w:tc>
      </w:tr>
      <w:tr w:rsidR="00AA782A" w14:paraId="709BCCB0" w14:textId="77777777" w:rsidTr="00AA782A">
        <w:tc>
          <w:tcPr>
            <w:tcW w:w="1668" w:type="dxa"/>
          </w:tcPr>
          <w:p w14:paraId="709BCCAB" w14:textId="1480BB36" w:rsidR="00AA782A" w:rsidRPr="00CB2607" w:rsidRDefault="00B20BBC" w:rsidP="00851ACC">
            <w:pPr>
              <w:spacing w:before="120"/>
              <w:rPr>
                <w:b/>
              </w:rPr>
            </w:pPr>
            <w:r w:rsidRPr="00CB2607">
              <w:rPr>
                <w:b/>
              </w:rPr>
              <w:t>Additional information</w:t>
            </w:r>
          </w:p>
        </w:tc>
        <w:tc>
          <w:tcPr>
            <w:tcW w:w="8363" w:type="dxa"/>
          </w:tcPr>
          <w:p w14:paraId="709BCCAC" w14:textId="3BD7E416" w:rsidR="00851ACC" w:rsidRPr="00CB2607" w:rsidRDefault="005676AF" w:rsidP="00851ACC">
            <w:pPr>
              <w:spacing w:before="120" w:after="120"/>
            </w:pPr>
            <w:r w:rsidRPr="00CB2607">
              <w:t xml:space="preserve">The </w:t>
            </w:r>
            <w:r w:rsidR="00886F6A" w:rsidRPr="00CB2607">
              <w:t xml:space="preserve">One Southwark/UStSC </w:t>
            </w:r>
            <w:r w:rsidRPr="00CB2607">
              <w:t xml:space="preserve">team </w:t>
            </w:r>
            <w:r w:rsidR="00851ACC" w:rsidRPr="00CB2607">
              <w:t xml:space="preserve">will </w:t>
            </w:r>
            <w:r w:rsidRPr="00CB2607">
              <w:t>do the following</w:t>
            </w:r>
            <w:r w:rsidR="00851ACC" w:rsidRPr="00CB2607">
              <w:t>:</w:t>
            </w:r>
          </w:p>
          <w:p w14:paraId="3404EE66" w14:textId="77777777" w:rsidR="00AF4765" w:rsidRPr="00CB2607" w:rsidRDefault="006C6EB3" w:rsidP="00851ACC">
            <w:pPr>
              <w:pStyle w:val="ListParagraph"/>
              <w:numPr>
                <w:ilvl w:val="0"/>
                <w:numId w:val="14"/>
              </w:numPr>
              <w:spacing w:before="120" w:after="120"/>
            </w:pPr>
            <w:r w:rsidRPr="00CB2607">
              <w:t xml:space="preserve">Facilitate access </w:t>
            </w:r>
            <w:r w:rsidR="003A45CD" w:rsidRPr="00CB2607">
              <w:t xml:space="preserve">to, </w:t>
            </w:r>
            <w:r w:rsidRPr="00CB2607">
              <w:t xml:space="preserve">and support </w:t>
            </w:r>
            <w:r w:rsidR="003A45CD" w:rsidRPr="00CB2607">
              <w:t>engagement with, the young people, Coalition members, and other relevant stakeholders</w:t>
            </w:r>
          </w:p>
          <w:p w14:paraId="093CF522" w14:textId="77777777" w:rsidR="00987652" w:rsidRPr="00CB2607" w:rsidRDefault="00987652" w:rsidP="00851ACC">
            <w:pPr>
              <w:pStyle w:val="ListParagraph"/>
              <w:numPr>
                <w:ilvl w:val="0"/>
                <w:numId w:val="14"/>
              </w:numPr>
              <w:spacing w:before="120" w:after="120"/>
            </w:pPr>
            <w:r w:rsidRPr="00CB2607">
              <w:t>Provide office, meeting and workshop space</w:t>
            </w:r>
          </w:p>
          <w:p w14:paraId="709BCCAF" w14:textId="7B1B87C9" w:rsidR="00987652" w:rsidRPr="00CB2607" w:rsidRDefault="00987652" w:rsidP="00851ACC">
            <w:pPr>
              <w:pStyle w:val="ListParagraph"/>
              <w:numPr>
                <w:ilvl w:val="0"/>
                <w:numId w:val="14"/>
              </w:numPr>
              <w:spacing w:before="120" w:after="120"/>
            </w:pPr>
            <w:r w:rsidRPr="00CB2607">
              <w:t>Support work-planning and interface of learning partners with the wider programme</w:t>
            </w:r>
          </w:p>
        </w:tc>
      </w:tr>
      <w:tr w:rsidR="00077480" w14:paraId="709BCCB7" w14:textId="77777777" w:rsidTr="00AA782A">
        <w:tc>
          <w:tcPr>
            <w:tcW w:w="1668" w:type="dxa"/>
          </w:tcPr>
          <w:p w14:paraId="709BCCB1" w14:textId="58C5F5AF" w:rsidR="00077480" w:rsidRDefault="00B20BBC" w:rsidP="00077480">
            <w:pPr>
              <w:spacing w:before="120" w:after="120"/>
              <w:rPr>
                <w:b/>
              </w:rPr>
            </w:pPr>
            <w:r>
              <w:rPr>
                <w:b/>
              </w:rPr>
              <w:t>S</w:t>
            </w:r>
            <w:r w:rsidR="00077480">
              <w:rPr>
                <w:b/>
              </w:rPr>
              <w:t>ubmission</w:t>
            </w:r>
            <w:r>
              <w:rPr>
                <w:b/>
              </w:rPr>
              <w:t xml:space="preserve"> </w:t>
            </w:r>
            <w:r w:rsidR="00077480">
              <w:rPr>
                <w:b/>
              </w:rPr>
              <w:t>details:</w:t>
            </w:r>
          </w:p>
        </w:tc>
        <w:tc>
          <w:tcPr>
            <w:tcW w:w="8363" w:type="dxa"/>
          </w:tcPr>
          <w:p w14:paraId="32CF984C" w14:textId="77777777" w:rsidR="00B9737A" w:rsidRPr="00CB2607" w:rsidRDefault="00077480" w:rsidP="00B9737A">
            <w:pPr>
              <w:spacing w:before="120"/>
            </w:pPr>
            <w:r w:rsidRPr="00CB2607">
              <w:t xml:space="preserve">If you are interested in tendering for </w:t>
            </w:r>
            <w:r w:rsidR="006B7C6D" w:rsidRPr="00CB2607">
              <w:t>the Learning Partner programme</w:t>
            </w:r>
            <w:r w:rsidRPr="00CB2607">
              <w:t xml:space="preserve">, please </w:t>
            </w:r>
            <w:r w:rsidR="006B7C6D" w:rsidRPr="00CB2607">
              <w:t>submit your expression</w:t>
            </w:r>
            <w:r w:rsidR="002C4B51" w:rsidRPr="00CB2607">
              <w:t xml:space="preserve"> of interest </w:t>
            </w:r>
            <w:r w:rsidRPr="00CB2607">
              <w:t>outlining:</w:t>
            </w:r>
          </w:p>
          <w:p w14:paraId="55690A6D" w14:textId="6808A8A5" w:rsidR="00933E05" w:rsidRPr="00BB60ED" w:rsidRDefault="00077480" w:rsidP="00B9737A">
            <w:pPr>
              <w:pStyle w:val="ListParagraph"/>
              <w:numPr>
                <w:ilvl w:val="0"/>
                <w:numId w:val="28"/>
              </w:numPr>
              <w:spacing w:before="120"/>
              <w:rPr>
                <w:rFonts w:ascii="Calibri" w:hAnsi="Calibri" w:cs="Calibri"/>
                <w:lang w:eastAsia="en-GB"/>
              </w:rPr>
            </w:pPr>
            <w:r w:rsidRPr="00BB60ED">
              <w:t>Your previous relevant experience</w:t>
            </w:r>
            <w:r w:rsidR="0062381C" w:rsidRPr="00BB60ED">
              <w:t xml:space="preserve">, particularly </w:t>
            </w:r>
            <w:r w:rsidR="0062381C" w:rsidRPr="00BB60ED">
              <w:rPr>
                <w:rFonts w:ascii="Calibri" w:hAnsi="Calibri" w:cs="Calibri"/>
                <w:lang w:eastAsia="en-GB"/>
              </w:rPr>
              <w:t>in terms of proof of concept and system change. </w:t>
            </w:r>
          </w:p>
          <w:p w14:paraId="738FA122" w14:textId="4383A94E" w:rsidR="000D5C16" w:rsidRPr="00BB60ED" w:rsidRDefault="00933E05" w:rsidP="009A1D6E">
            <w:pPr>
              <w:pStyle w:val="ListParagraph"/>
              <w:numPr>
                <w:ilvl w:val="0"/>
                <w:numId w:val="17"/>
              </w:numPr>
              <w:spacing w:before="120" w:beforeAutospacing="1" w:after="120"/>
            </w:pPr>
            <w:r w:rsidRPr="00BB60ED">
              <w:t>Your skills</w:t>
            </w:r>
            <w:r w:rsidR="00CD5270" w:rsidRPr="00BB60ED">
              <w:t xml:space="preserve">, particularly in relation to </w:t>
            </w:r>
            <w:r w:rsidR="000D5C16" w:rsidRPr="00BB60ED">
              <w:rPr>
                <w:rFonts w:ascii="Calibri" w:hAnsi="Calibri" w:cs="Calibri"/>
                <w:lang w:eastAsia="en-GB"/>
              </w:rPr>
              <w:t>qualitative research, co-creation and creative research methodologies</w:t>
            </w:r>
          </w:p>
          <w:p w14:paraId="709BCCB4" w14:textId="386FBD8F" w:rsidR="00077480" w:rsidRPr="00BB60ED" w:rsidRDefault="00077480" w:rsidP="00077480">
            <w:pPr>
              <w:pStyle w:val="ListParagraph"/>
              <w:numPr>
                <w:ilvl w:val="0"/>
                <w:numId w:val="17"/>
              </w:numPr>
              <w:spacing w:before="120" w:after="120"/>
            </w:pPr>
            <w:r w:rsidRPr="00BB60ED">
              <w:t xml:space="preserve">How you would approach the </w:t>
            </w:r>
            <w:r w:rsidR="0052129D" w:rsidRPr="00BB60ED">
              <w:t>learning programme</w:t>
            </w:r>
            <w:r w:rsidRPr="00BB60ED">
              <w:t xml:space="preserve"> (your methodology</w:t>
            </w:r>
            <w:r w:rsidR="00AE4C29">
              <w:t xml:space="preserve"> - we are happy for you to propose a different approach to </w:t>
            </w:r>
            <w:r w:rsidR="006B47E3">
              <w:t xml:space="preserve">what we have </w:t>
            </w:r>
            <w:r w:rsidR="00AE4C29">
              <w:t xml:space="preserve">laid </w:t>
            </w:r>
            <w:r w:rsidR="006B47E3">
              <w:t>out</w:t>
            </w:r>
            <w:r w:rsidR="00AE4C29">
              <w:t>).</w:t>
            </w:r>
          </w:p>
          <w:p w14:paraId="709BCCB5" w14:textId="5F7B8B0D" w:rsidR="00077480" w:rsidRPr="00BB60ED" w:rsidRDefault="00077480" w:rsidP="00077480">
            <w:pPr>
              <w:pStyle w:val="ListParagraph"/>
              <w:numPr>
                <w:ilvl w:val="0"/>
                <w:numId w:val="17"/>
              </w:numPr>
              <w:spacing w:before="120" w:after="120"/>
            </w:pPr>
            <w:r w:rsidRPr="00BB60ED">
              <w:t>Who would lead the project</w:t>
            </w:r>
            <w:r w:rsidR="0052129D" w:rsidRPr="00BB60ED">
              <w:t xml:space="preserve"> and </w:t>
            </w:r>
            <w:r w:rsidR="0082507D">
              <w:t xml:space="preserve">the composition of your </w:t>
            </w:r>
            <w:r w:rsidR="0052129D" w:rsidRPr="00BB60ED">
              <w:t xml:space="preserve">team </w:t>
            </w:r>
          </w:p>
          <w:p w14:paraId="709BCCB6" w14:textId="46EFFBA0" w:rsidR="00077480" w:rsidRDefault="00077480" w:rsidP="00077480">
            <w:pPr>
              <w:pStyle w:val="ListParagraph"/>
              <w:numPr>
                <w:ilvl w:val="0"/>
                <w:numId w:val="17"/>
              </w:numPr>
              <w:spacing w:before="120" w:after="120"/>
            </w:pPr>
            <w:r w:rsidRPr="00BB60ED">
              <w:t>Your cost</w:t>
            </w:r>
            <w:r w:rsidR="00B9737A" w:rsidRPr="00BB60ED">
              <w:t>s</w:t>
            </w:r>
            <w:r w:rsidR="0082507D">
              <w:t xml:space="preserve"> (</w:t>
            </w:r>
            <w:r w:rsidR="00B9737A" w:rsidRPr="00BB60ED">
              <w:t>with breakdown</w:t>
            </w:r>
            <w:r w:rsidR="0082507D">
              <w:t>)</w:t>
            </w:r>
          </w:p>
        </w:tc>
      </w:tr>
      <w:tr w:rsidR="00072F65" w14:paraId="709BCCBE" w14:textId="77777777" w:rsidTr="00AA782A">
        <w:tc>
          <w:tcPr>
            <w:tcW w:w="1668" w:type="dxa"/>
          </w:tcPr>
          <w:p w14:paraId="709BCCB8" w14:textId="77777777" w:rsidR="00072F65" w:rsidRDefault="00851ACC" w:rsidP="0004007A">
            <w:pPr>
              <w:spacing w:before="120"/>
              <w:rPr>
                <w:b/>
              </w:rPr>
            </w:pPr>
            <w:r>
              <w:rPr>
                <w:b/>
              </w:rPr>
              <w:t>Contact details</w:t>
            </w:r>
          </w:p>
        </w:tc>
        <w:tc>
          <w:tcPr>
            <w:tcW w:w="8363" w:type="dxa"/>
          </w:tcPr>
          <w:p w14:paraId="5F5599B1" w14:textId="451B6E2E" w:rsidR="00077480" w:rsidRDefault="00062DF0" w:rsidP="0004007A">
            <w:pPr>
              <w:spacing w:before="120"/>
            </w:pPr>
            <w:r>
              <w:t>Alison Benzimra</w:t>
            </w:r>
            <w:r w:rsidR="00343097">
              <w:t>: ABenzimra@ustsc.org.uk</w:t>
            </w:r>
          </w:p>
          <w:p w14:paraId="709BCCBD" w14:textId="6C6E523B" w:rsidR="0004007A" w:rsidRDefault="0004007A" w:rsidP="00B20BBC"/>
        </w:tc>
      </w:tr>
    </w:tbl>
    <w:p w14:paraId="709BCCBF" w14:textId="77777777" w:rsidR="008F0268" w:rsidRDefault="008F0268"/>
    <w:p w14:paraId="12E1E5A5" w14:textId="77777777" w:rsidR="00446FDF" w:rsidRPr="00446FDF" w:rsidRDefault="008F0268" w:rsidP="00E3082B">
      <w:pPr>
        <w:spacing w:after="120"/>
        <w:rPr>
          <w:u w:val="single"/>
        </w:rPr>
      </w:pPr>
      <w:r>
        <w:br w:type="page"/>
      </w:r>
      <w:r w:rsidR="00446FDF" w:rsidRPr="00446FDF">
        <w:rPr>
          <w:u w:val="single"/>
        </w:rPr>
        <w:t>Appendix 1</w:t>
      </w:r>
    </w:p>
    <w:p w14:paraId="19FA5573" w14:textId="08EF3E1A" w:rsidR="00E3082B" w:rsidRPr="00C82578" w:rsidRDefault="00E3082B" w:rsidP="00E3082B">
      <w:pPr>
        <w:spacing w:after="120"/>
        <w:rPr>
          <w:b/>
          <w:sz w:val="24"/>
          <w:szCs w:val="24"/>
        </w:rPr>
      </w:pPr>
      <w:r w:rsidRPr="00C82578">
        <w:rPr>
          <w:b/>
          <w:sz w:val="24"/>
          <w:szCs w:val="24"/>
        </w:rPr>
        <w:t xml:space="preserve">One Southwark </w:t>
      </w:r>
      <w:r>
        <w:rPr>
          <w:b/>
          <w:sz w:val="24"/>
          <w:szCs w:val="24"/>
        </w:rPr>
        <w:t>Learning</w:t>
      </w:r>
      <w:r w:rsidRPr="00C82578">
        <w:rPr>
          <w:b/>
          <w:sz w:val="24"/>
          <w:szCs w:val="24"/>
        </w:rPr>
        <w:t xml:space="preserve"> and Influencing </w:t>
      </w:r>
      <w:r w:rsidR="00446FDF">
        <w:rPr>
          <w:b/>
          <w:sz w:val="24"/>
          <w:szCs w:val="24"/>
        </w:rPr>
        <w:t>Draft Methodology</w:t>
      </w:r>
    </w:p>
    <w:p w14:paraId="6A0FA150" w14:textId="77777777" w:rsidR="00E3082B" w:rsidRDefault="00E3082B" w:rsidP="00E3082B">
      <w:pPr>
        <w:spacing w:after="0"/>
        <w:rPr>
          <w:b/>
        </w:rPr>
      </w:pPr>
      <w:r>
        <w:rPr>
          <w:b/>
        </w:rPr>
        <w:t>Methodology</w:t>
      </w:r>
    </w:p>
    <w:p w14:paraId="74AC62CF" w14:textId="77777777" w:rsidR="00E3082B" w:rsidRDefault="00E3082B" w:rsidP="00E3082B">
      <w:pPr>
        <w:spacing w:after="120"/>
        <w:rPr>
          <w:lang w:val="en-US"/>
        </w:rPr>
      </w:pPr>
      <w:r w:rsidRPr="0005040E">
        <w:t xml:space="preserve">The </w:t>
      </w:r>
      <w:r>
        <w:t>L&amp;I</w:t>
      </w:r>
      <w:r w:rsidRPr="0005040E">
        <w:t xml:space="preserve"> component will </w:t>
      </w:r>
      <w:r>
        <w:t xml:space="preserve">be </w:t>
      </w:r>
      <w:r w:rsidRPr="0005040E">
        <w:t xml:space="preserve">woven into the very fabric of the programme, running alongside the delivery for at least the first two years.  </w:t>
      </w:r>
      <w:r>
        <w:t>It will be</w:t>
      </w:r>
      <w:r>
        <w:rPr>
          <w:lang w:val="en-US"/>
        </w:rPr>
        <w:t xml:space="preserve"> informed by the young participants and the first cohort will co-design the methodology at the onset. </w:t>
      </w:r>
    </w:p>
    <w:p w14:paraId="14579CDB" w14:textId="77777777" w:rsidR="00E3082B" w:rsidRPr="005A7D7E" w:rsidRDefault="00E3082B" w:rsidP="00E3082B">
      <w:pPr>
        <w:spacing w:after="120"/>
        <w:jc w:val="both"/>
        <w:rPr>
          <w:color w:val="0070C0"/>
          <w:lang w:val="en-US"/>
        </w:rPr>
      </w:pPr>
      <w:r>
        <w:rPr>
          <w:b/>
          <w:bCs/>
          <w:lang w:val="en-US"/>
        </w:rPr>
        <w:t xml:space="preserve">Phase 1.  </w:t>
      </w:r>
      <w:r>
        <w:rPr>
          <w:lang w:val="en-US"/>
        </w:rPr>
        <w:t xml:space="preserve">Gaining insight into the perspectives of young people will be the primary focus for the first 6-9 months. This insight will inform phase 2.  At the start, the young cohort and researchers will co-create and plan the research, aligning it with the core support schedule. The team will consist of contracted researchers and trained (paid) peer researchers.  They will conduct one-to-one interviews, focus groups and peer-to-peer reflection.  Alternative qualitative methodologies such as video diaries may be deployed to enhance understanding of how young people experience barriers or navigate the system. </w:t>
      </w:r>
    </w:p>
    <w:p w14:paraId="00294891" w14:textId="77777777" w:rsidR="00E3082B" w:rsidRPr="00AF56E4" w:rsidRDefault="00E3082B" w:rsidP="00E3082B">
      <w:pPr>
        <w:spacing w:after="120"/>
        <w:jc w:val="both"/>
        <w:rPr>
          <w:rFonts w:cstheme="minorHAnsi"/>
          <w:lang w:val="en-US"/>
        </w:rPr>
      </w:pPr>
      <w:r>
        <w:rPr>
          <w:lang w:val="en-US"/>
        </w:rPr>
        <w:t xml:space="preserve">Regular research updates will be reported to the Coalition’s learning group. Young people will present their findings to key stakeholders and their peers at various points.  The perspectives of the young </w:t>
      </w:r>
      <w:r w:rsidRPr="00AF56E4">
        <w:rPr>
          <w:rFonts w:cstheme="minorHAnsi"/>
          <w:lang w:val="en-US"/>
        </w:rPr>
        <w:t xml:space="preserve">cohort will be systematically </w:t>
      </w:r>
      <w:r>
        <w:rPr>
          <w:rFonts w:cstheme="minorHAnsi"/>
          <w:lang w:val="en-US"/>
        </w:rPr>
        <w:t>integrated across the</w:t>
      </w:r>
      <w:r w:rsidRPr="00CF6FB0">
        <w:rPr>
          <w:rFonts w:cstheme="minorHAnsi"/>
          <w:lang w:val="en-US"/>
        </w:rPr>
        <w:t xml:space="preserve"> </w:t>
      </w:r>
      <w:r w:rsidRPr="00AF56E4">
        <w:rPr>
          <w:rFonts w:cstheme="minorHAnsi"/>
          <w:lang w:val="en-US"/>
        </w:rPr>
        <w:t>full 4 years</w:t>
      </w:r>
      <w:r>
        <w:rPr>
          <w:rFonts w:cstheme="minorHAnsi"/>
          <w:lang w:val="en-US"/>
        </w:rPr>
        <w:t xml:space="preserve"> (and beyond)</w:t>
      </w:r>
      <w:r w:rsidRPr="00AF56E4">
        <w:rPr>
          <w:rFonts w:cstheme="minorHAnsi"/>
          <w:lang w:val="en-US"/>
        </w:rPr>
        <w:t>.</w:t>
      </w:r>
    </w:p>
    <w:p w14:paraId="4AD18F55" w14:textId="77777777" w:rsidR="00E3082B" w:rsidRPr="00AF56E4" w:rsidRDefault="00E3082B" w:rsidP="00E3082B">
      <w:pPr>
        <w:spacing w:after="120"/>
        <w:jc w:val="both"/>
        <w:rPr>
          <w:lang w:val="en-US"/>
        </w:rPr>
      </w:pPr>
      <w:r w:rsidRPr="00AF56E4">
        <w:rPr>
          <w:b/>
          <w:bCs/>
          <w:lang w:val="en-US"/>
        </w:rPr>
        <w:t xml:space="preserve">Phase 2.  </w:t>
      </w:r>
      <w:r w:rsidRPr="00AF56E4">
        <w:rPr>
          <w:lang w:val="en-US"/>
        </w:rPr>
        <w:t xml:space="preserve">Informed by the </w:t>
      </w:r>
      <w:r w:rsidRPr="0024028E">
        <w:rPr>
          <w:lang w:val="en-US"/>
        </w:rPr>
        <w:t>Phase 1</w:t>
      </w:r>
      <w:r>
        <w:rPr>
          <w:lang w:val="en-US"/>
        </w:rPr>
        <w:t xml:space="preserve"> findings</w:t>
      </w:r>
      <w:r w:rsidRPr="0024028E">
        <w:rPr>
          <w:lang w:val="en-US"/>
        </w:rPr>
        <w:t>, this</w:t>
      </w:r>
      <w:r w:rsidRPr="00AF56E4">
        <w:rPr>
          <w:lang w:val="en-US"/>
        </w:rPr>
        <w:t xml:space="preserve"> phase will concentrate on exploring the role and potential of community stakeholders in overcoming the barriers to progression. </w:t>
      </w:r>
      <w:r>
        <w:rPr>
          <w:lang w:val="en-US"/>
        </w:rPr>
        <w:t xml:space="preserve">The interview/focus group/workshop guidelines will be informed by the systemic issues identified by the young cohort. </w:t>
      </w:r>
    </w:p>
    <w:p w14:paraId="6474939C" w14:textId="77777777" w:rsidR="00E3082B" w:rsidRDefault="00E3082B" w:rsidP="00E3082B">
      <w:pPr>
        <w:spacing w:after="120"/>
        <w:jc w:val="both"/>
      </w:pPr>
      <w:r>
        <w:rPr>
          <w:b/>
          <w:bCs/>
        </w:rPr>
        <w:t xml:space="preserve">Phase 3.  </w:t>
      </w:r>
      <w:r w:rsidRPr="00A26C89">
        <w:t>This will be an iterative process</w:t>
      </w:r>
      <w:r>
        <w:t xml:space="preserve"> whereby the development of the proof of concept is shaped and informed by the programme results and the research findings.  At the end of year two the aim is to have a defined model which can be replicated for the remainder of the programme and potentially beyond (in other localities, for example). </w:t>
      </w:r>
    </w:p>
    <w:p w14:paraId="709BCCC1" w14:textId="3A30C709" w:rsidR="00C40286" w:rsidRDefault="008F0268">
      <w:r>
        <w:t xml:space="preserve"> </w:t>
      </w:r>
    </w:p>
    <w:sectPr w:rsidR="00C40286" w:rsidSect="00446FD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243D" w14:textId="77777777" w:rsidR="001C6C4D" w:rsidRDefault="001C6C4D" w:rsidP="001A0813">
      <w:pPr>
        <w:spacing w:after="0" w:line="240" w:lineRule="auto"/>
      </w:pPr>
      <w:r>
        <w:separator/>
      </w:r>
    </w:p>
  </w:endnote>
  <w:endnote w:type="continuationSeparator" w:id="0">
    <w:p w14:paraId="06F0B9E2" w14:textId="77777777" w:rsidR="001C6C4D" w:rsidRDefault="001C6C4D" w:rsidP="001A0813">
      <w:pPr>
        <w:spacing w:after="0" w:line="240" w:lineRule="auto"/>
      </w:pPr>
      <w:r>
        <w:continuationSeparator/>
      </w:r>
    </w:p>
  </w:endnote>
  <w:endnote w:type="continuationNotice" w:id="1">
    <w:p w14:paraId="1532E413" w14:textId="77777777" w:rsidR="003F0F70" w:rsidRDefault="003F0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87053"/>
      <w:docPartObj>
        <w:docPartGallery w:val="Page Numbers (Bottom of Page)"/>
        <w:docPartUnique/>
      </w:docPartObj>
    </w:sdtPr>
    <w:sdtEndPr>
      <w:rPr>
        <w:noProof/>
      </w:rPr>
    </w:sdtEndPr>
    <w:sdtContent>
      <w:p w14:paraId="709BCD68" w14:textId="77777777" w:rsidR="001A0813" w:rsidRDefault="001A0813">
        <w:pPr>
          <w:pStyle w:val="Footer"/>
          <w:jc w:val="center"/>
        </w:pPr>
        <w:r>
          <w:fldChar w:fldCharType="begin"/>
        </w:r>
        <w:r>
          <w:instrText xml:space="preserve"> PAGE   \* MERGEFORMAT </w:instrText>
        </w:r>
        <w:r>
          <w:fldChar w:fldCharType="separate"/>
        </w:r>
        <w:r w:rsidR="00DB04B4">
          <w:rPr>
            <w:noProof/>
          </w:rPr>
          <w:t>10</w:t>
        </w:r>
        <w:r>
          <w:rPr>
            <w:noProof/>
          </w:rPr>
          <w:fldChar w:fldCharType="end"/>
        </w:r>
      </w:p>
    </w:sdtContent>
  </w:sdt>
  <w:p w14:paraId="709BCD69" w14:textId="77777777" w:rsidR="001A0813" w:rsidRDefault="001A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E6DC" w14:textId="77777777" w:rsidR="001C6C4D" w:rsidRDefault="001C6C4D" w:rsidP="001A0813">
      <w:pPr>
        <w:spacing w:after="0" w:line="240" w:lineRule="auto"/>
      </w:pPr>
      <w:r>
        <w:separator/>
      </w:r>
    </w:p>
  </w:footnote>
  <w:footnote w:type="continuationSeparator" w:id="0">
    <w:p w14:paraId="2AF5E074" w14:textId="77777777" w:rsidR="001C6C4D" w:rsidRDefault="001C6C4D" w:rsidP="001A0813">
      <w:pPr>
        <w:spacing w:after="0" w:line="240" w:lineRule="auto"/>
      </w:pPr>
      <w:r>
        <w:continuationSeparator/>
      </w:r>
    </w:p>
  </w:footnote>
  <w:footnote w:type="continuationNotice" w:id="1">
    <w:p w14:paraId="4E692264" w14:textId="77777777" w:rsidR="003F0F70" w:rsidRDefault="003F0F70">
      <w:pPr>
        <w:spacing w:after="0" w:line="240" w:lineRule="auto"/>
      </w:pPr>
    </w:p>
  </w:footnote>
  <w:footnote w:id="2">
    <w:p w14:paraId="748982ED" w14:textId="77777777" w:rsidR="00BF63B1" w:rsidRDefault="00BF63B1" w:rsidP="00BF63B1">
      <w:pPr>
        <w:pStyle w:val="FootnoteText"/>
      </w:pPr>
      <w:r>
        <w:rPr>
          <w:rStyle w:val="FootnoteReference"/>
        </w:rPr>
        <w:footnoteRef/>
      </w:r>
      <w:r>
        <w:t xml:space="preserve"> </w:t>
      </w:r>
      <w:r w:rsidRPr="00B653D2">
        <w:rPr>
          <w:b/>
          <w:bCs/>
        </w:rPr>
        <w:t>Current Coalition members:</w:t>
      </w:r>
      <w:r>
        <w:t xml:space="preserve"> United St Saviour’s Charity, Peabody Foundation, London Borough of Southwark, Good People, Community Southwark, Team London Bridge, Alan &amp; Babette Sainsbury Charitable Fund, Norton Rose Fulbright, Womble Bond Dickinson and Merchant Taylors.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9BE"/>
    <w:multiLevelType w:val="hybridMultilevel"/>
    <w:tmpl w:val="5650D2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44A0E"/>
    <w:multiLevelType w:val="hybridMultilevel"/>
    <w:tmpl w:val="9F5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45EFC"/>
    <w:multiLevelType w:val="hybridMultilevel"/>
    <w:tmpl w:val="9B1E3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20002"/>
    <w:multiLevelType w:val="hybridMultilevel"/>
    <w:tmpl w:val="0B90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73EC6"/>
    <w:multiLevelType w:val="hybridMultilevel"/>
    <w:tmpl w:val="E94E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D580A"/>
    <w:multiLevelType w:val="hybridMultilevel"/>
    <w:tmpl w:val="EBA48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65E31"/>
    <w:multiLevelType w:val="hybridMultilevel"/>
    <w:tmpl w:val="7BE8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A1BC2"/>
    <w:multiLevelType w:val="hybridMultilevel"/>
    <w:tmpl w:val="2836091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31C512FA"/>
    <w:multiLevelType w:val="hybridMultilevel"/>
    <w:tmpl w:val="8FF4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64A3B"/>
    <w:multiLevelType w:val="hybridMultilevel"/>
    <w:tmpl w:val="E68A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F2B4E"/>
    <w:multiLevelType w:val="hybridMultilevel"/>
    <w:tmpl w:val="F1CE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274D7"/>
    <w:multiLevelType w:val="hybridMultilevel"/>
    <w:tmpl w:val="4DF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36034"/>
    <w:multiLevelType w:val="hybridMultilevel"/>
    <w:tmpl w:val="EBA48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1562CF"/>
    <w:multiLevelType w:val="hybridMultilevel"/>
    <w:tmpl w:val="B0AEAB2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42876953"/>
    <w:multiLevelType w:val="hybridMultilevel"/>
    <w:tmpl w:val="AC64140E"/>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3BA72B8"/>
    <w:multiLevelType w:val="hybridMultilevel"/>
    <w:tmpl w:val="77E4D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D611F"/>
    <w:multiLevelType w:val="hybridMultilevel"/>
    <w:tmpl w:val="6A56C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83DEB"/>
    <w:multiLevelType w:val="hybridMultilevel"/>
    <w:tmpl w:val="2A48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82504"/>
    <w:multiLevelType w:val="hybridMultilevel"/>
    <w:tmpl w:val="84A4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03FA7"/>
    <w:multiLevelType w:val="hybridMultilevel"/>
    <w:tmpl w:val="89E497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F6FA0"/>
    <w:multiLevelType w:val="hybridMultilevel"/>
    <w:tmpl w:val="A664D9B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530B26C4"/>
    <w:multiLevelType w:val="hybridMultilevel"/>
    <w:tmpl w:val="CB422C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32BB0"/>
    <w:multiLevelType w:val="hybridMultilevel"/>
    <w:tmpl w:val="A5FE9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C1CEC"/>
    <w:multiLevelType w:val="hybridMultilevel"/>
    <w:tmpl w:val="A2D6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80A04"/>
    <w:multiLevelType w:val="hybridMultilevel"/>
    <w:tmpl w:val="EC56522A"/>
    <w:lvl w:ilvl="0" w:tplc="5DA02586">
      <w:start w:val="1"/>
      <w:numFmt w:val="upperLetter"/>
      <w:lvlText w:val="%1."/>
      <w:lvlJc w:val="left"/>
      <w:pPr>
        <w:ind w:left="720" w:hanging="360"/>
      </w:pPr>
      <w:rPr>
        <w:rFonts w:asciiTheme="minorHAnsi" w:hAnsiTheme="minorHAnsi"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E6863"/>
    <w:multiLevelType w:val="hybridMultilevel"/>
    <w:tmpl w:val="B2FC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426B4"/>
    <w:multiLevelType w:val="hybridMultilevel"/>
    <w:tmpl w:val="25D001FA"/>
    <w:lvl w:ilvl="0" w:tplc="8DEAB6A8">
      <w:start w:val="1"/>
      <w:numFmt w:val="decimal"/>
      <w:lvlText w:val="%1."/>
      <w:lvlJc w:val="left"/>
      <w:pPr>
        <w:ind w:left="768" w:hanging="360"/>
      </w:pPr>
      <w:rPr>
        <w:rFonts w:hint="default"/>
        <w:b/>
        <w:i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7" w15:restartNumberingAfterBreak="0">
    <w:nsid w:val="76A741D8"/>
    <w:multiLevelType w:val="multilevel"/>
    <w:tmpl w:val="9762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64974"/>
    <w:multiLevelType w:val="hybridMultilevel"/>
    <w:tmpl w:val="380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60468"/>
    <w:multiLevelType w:val="hybridMultilevel"/>
    <w:tmpl w:val="5260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7699F"/>
    <w:multiLevelType w:val="hybridMultilevel"/>
    <w:tmpl w:val="A872A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974043">
    <w:abstractNumId w:val="15"/>
  </w:num>
  <w:num w:numId="2" w16cid:durableId="1936984817">
    <w:abstractNumId w:val="21"/>
  </w:num>
  <w:num w:numId="3" w16cid:durableId="1353920076">
    <w:abstractNumId w:val="12"/>
  </w:num>
  <w:num w:numId="4" w16cid:durableId="710374954">
    <w:abstractNumId w:val="28"/>
  </w:num>
  <w:num w:numId="5" w16cid:durableId="987828000">
    <w:abstractNumId w:val="1"/>
  </w:num>
  <w:num w:numId="6" w16cid:durableId="881945100">
    <w:abstractNumId w:val="23"/>
  </w:num>
  <w:num w:numId="7" w16cid:durableId="402722449">
    <w:abstractNumId w:val="19"/>
  </w:num>
  <w:num w:numId="8" w16cid:durableId="92375863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9" w16cid:durableId="1069499460">
    <w:abstractNumId w:val="6"/>
  </w:num>
  <w:num w:numId="10" w16cid:durableId="1025640825">
    <w:abstractNumId w:val="5"/>
  </w:num>
  <w:num w:numId="11" w16cid:durableId="954597585">
    <w:abstractNumId w:val="2"/>
  </w:num>
  <w:num w:numId="12" w16cid:durableId="314797057">
    <w:abstractNumId w:val="18"/>
  </w:num>
  <w:num w:numId="13" w16cid:durableId="1239708274">
    <w:abstractNumId w:val="10"/>
  </w:num>
  <w:num w:numId="14" w16cid:durableId="313921829">
    <w:abstractNumId w:val="9"/>
  </w:num>
  <w:num w:numId="15" w16cid:durableId="29653777">
    <w:abstractNumId w:val="7"/>
  </w:num>
  <w:num w:numId="16" w16cid:durableId="1148984253">
    <w:abstractNumId w:val="22"/>
  </w:num>
  <w:num w:numId="17" w16cid:durableId="846477577">
    <w:abstractNumId w:val="17"/>
  </w:num>
  <w:num w:numId="18" w16cid:durableId="1355493859">
    <w:abstractNumId w:val="20"/>
  </w:num>
  <w:num w:numId="19" w16cid:durableId="936445665">
    <w:abstractNumId w:val="4"/>
  </w:num>
  <w:num w:numId="20" w16cid:durableId="2065060823">
    <w:abstractNumId w:val="13"/>
  </w:num>
  <w:num w:numId="21" w16cid:durableId="1735002403">
    <w:abstractNumId w:val="24"/>
  </w:num>
  <w:num w:numId="22" w16cid:durableId="920677774">
    <w:abstractNumId w:val="26"/>
  </w:num>
  <w:num w:numId="23" w16cid:durableId="619606772">
    <w:abstractNumId w:val="25"/>
  </w:num>
  <w:num w:numId="24" w16cid:durableId="1284993772">
    <w:abstractNumId w:val="0"/>
  </w:num>
  <w:num w:numId="25" w16cid:durableId="259064883">
    <w:abstractNumId w:val="16"/>
  </w:num>
  <w:num w:numId="26" w16cid:durableId="1977225029">
    <w:abstractNumId w:val="14"/>
  </w:num>
  <w:num w:numId="27" w16cid:durableId="1987196381">
    <w:abstractNumId w:val="3"/>
  </w:num>
  <w:num w:numId="28" w16cid:durableId="606498264">
    <w:abstractNumId w:val="11"/>
  </w:num>
  <w:num w:numId="29" w16cid:durableId="346173155">
    <w:abstractNumId w:val="30"/>
  </w:num>
  <w:num w:numId="30" w16cid:durableId="140119542">
    <w:abstractNumId w:val="8"/>
  </w:num>
  <w:num w:numId="31" w16cid:durableId="13103289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C0"/>
    <w:rsid w:val="00005A06"/>
    <w:rsid w:val="0003546A"/>
    <w:rsid w:val="0004007A"/>
    <w:rsid w:val="00051BD3"/>
    <w:rsid w:val="000560AB"/>
    <w:rsid w:val="0005705E"/>
    <w:rsid w:val="00062DF0"/>
    <w:rsid w:val="0007177B"/>
    <w:rsid w:val="00071F32"/>
    <w:rsid w:val="00072F65"/>
    <w:rsid w:val="00077480"/>
    <w:rsid w:val="00092F1E"/>
    <w:rsid w:val="00094059"/>
    <w:rsid w:val="00096B7D"/>
    <w:rsid w:val="000A2354"/>
    <w:rsid w:val="000B029E"/>
    <w:rsid w:val="000C1498"/>
    <w:rsid w:val="000D0B76"/>
    <w:rsid w:val="000D1BC0"/>
    <w:rsid w:val="000D1E92"/>
    <w:rsid w:val="000D1FDD"/>
    <w:rsid w:val="000D5C16"/>
    <w:rsid w:val="000F0D7A"/>
    <w:rsid w:val="000F0EB6"/>
    <w:rsid w:val="000F1CB0"/>
    <w:rsid w:val="00100006"/>
    <w:rsid w:val="00110FC7"/>
    <w:rsid w:val="00113573"/>
    <w:rsid w:val="0013757E"/>
    <w:rsid w:val="00143E68"/>
    <w:rsid w:val="001600CB"/>
    <w:rsid w:val="00162D5C"/>
    <w:rsid w:val="00164133"/>
    <w:rsid w:val="00167F30"/>
    <w:rsid w:val="001828D0"/>
    <w:rsid w:val="00186606"/>
    <w:rsid w:val="00187E08"/>
    <w:rsid w:val="00192913"/>
    <w:rsid w:val="001A0813"/>
    <w:rsid w:val="001A16CD"/>
    <w:rsid w:val="001A4DC7"/>
    <w:rsid w:val="001A7325"/>
    <w:rsid w:val="001C6C4D"/>
    <w:rsid w:val="001F00F7"/>
    <w:rsid w:val="001F3D5C"/>
    <w:rsid w:val="00203DAB"/>
    <w:rsid w:val="0022663A"/>
    <w:rsid w:val="00244515"/>
    <w:rsid w:val="00245D53"/>
    <w:rsid w:val="00282AEC"/>
    <w:rsid w:val="00284300"/>
    <w:rsid w:val="002A332B"/>
    <w:rsid w:val="002A625E"/>
    <w:rsid w:val="002A7F3A"/>
    <w:rsid w:val="002B4FAE"/>
    <w:rsid w:val="002C0131"/>
    <w:rsid w:val="002C0363"/>
    <w:rsid w:val="002C0FD5"/>
    <w:rsid w:val="002C2701"/>
    <w:rsid w:val="002C41B0"/>
    <w:rsid w:val="002C4B51"/>
    <w:rsid w:val="002D157B"/>
    <w:rsid w:val="002D15F2"/>
    <w:rsid w:val="002D7454"/>
    <w:rsid w:val="002F12E4"/>
    <w:rsid w:val="002F7845"/>
    <w:rsid w:val="00306175"/>
    <w:rsid w:val="00313B1B"/>
    <w:rsid w:val="003174E2"/>
    <w:rsid w:val="003179D8"/>
    <w:rsid w:val="00324F71"/>
    <w:rsid w:val="003262A7"/>
    <w:rsid w:val="00331F16"/>
    <w:rsid w:val="003378D1"/>
    <w:rsid w:val="00343097"/>
    <w:rsid w:val="003923EB"/>
    <w:rsid w:val="003A45CD"/>
    <w:rsid w:val="003A7EE9"/>
    <w:rsid w:val="003B08F6"/>
    <w:rsid w:val="003B4464"/>
    <w:rsid w:val="003C0D9B"/>
    <w:rsid w:val="003C31E3"/>
    <w:rsid w:val="003D1D3F"/>
    <w:rsid w:val="003D3550"/>
    <w:rsid w:val="003E2294"/>
    <w:rsid w:val="003E2A64"/>
    <w:rsid w:val="003F0F70"/>
    <w:rsid w:val="003F7D3B"/>
    <w:rsid w:val="004147BB"/>
    <w:rsid w:val="00415295"/>
    <w:rsid w:val="004160BF"/>
    <w:rsid w:val="004162C8"/>
    <w:rsid w:val="004420F5"/>
    <w:rsid w:val="00444706"/>
    <w:rsid w:val="00446FDF"/>
    <w:rsid w:val="004506D9"/>
    <w:rsid w:val="004661ED"/>
    <w:rsid w:val="00473D2C"/>
    <w:rsid w:val="004740A2"/>
    <w:rsid w:val="004771EE"/>
    <w:rsid w:val="00480D2C"/>
    <w:rsid w:val="0048536A"/>
    <w:rsid w:val="00490F60"/>
    <w:rsid w:val="00492A35"/>
    <w:rsid w:val="004A0754"/>
    <w:rsid w:val="004A46A3"/>
    <w:rsid w:val="004A7716"/>
    <w:rsid w:val="004B2ADA"/>
    <w:rsid w:val="004B6A67"/>
    <w:rsid w:val="004C24D8"/>
    <w:rsid w:val="004C6463"/>
    <w:rsid w:val="004D1AD7"/>
    <w:rsid w:val="004E06B7"/>
    <w:rsid w:val="004F177E"/>
    <w:rsid w:val="004F3BAB"/>
    <w:rsid w:val="004F77F6"/>
    <w:rsid w:val="00500A3A"/>
    <w:rsid w:val="00500AF5"/>
    <w:rsid w:val="005044E9"/>
    <w:rsid w:val="00512B24"/>
    <w:rsid w:val="0052129D"/>
    <w:rsid w:val="00541DFC"/>
    <w:rsid w:val="005441FE"/>
    <w:rsid w:val="00550A97"/>
    <w:rsid w:val="0056129F"/>
    <w:rsid w:val="00562384"/>
    <w:rsid w:val="005676AF"/>
    <w:rsid w:val="00567D88"/>
    <w:rsid w:val="00571434"/>
    <w:rsid w:val="00586941"/>
    <w:rsid w:val="00591EAC"/>
    <w:rsid w:val="00597C47"/>
    <w:rsid w:val="005A35EC"/>
    <w:rsid w:val="005B3B15"/>
    <w:rsid w:val="005B53E7"/>
    <w:rsid w:val="005C60A2"/>
    <w:rsid w:val="005C7DE7"/>
    <w:rsid w:val="005D2027"/>
    <w:rsid w:val="005D2C88"/>
    <w:rsid w:val="005D3D59"/>
    <w:rsid w:val="005E129A"/>
    <w:rsid w:val="005E4627"/>
    <w:rsid w:val="005E6C41"/>
    <w:rsid w:val="005F3DEF"/>
    <w:rsid w:val="005F427E"/>
    <w:rsid w:val="00614A4F"/>
    <w:rsid w:val="0062381C"/>
    <w:rsid w:val="00630FF9"/>
    <w:rsid w:val="00631707"/>
    <w:rsid w:val="006442AF"/>
    <w:rsid w:val="00646888"/>
    <w:rsid w:val="006468E4"/>
    <w:rsid w:val="0065046E"/>
    <w:rsid w:val="00654781"/>
    <w:rsid w:val="006606BD"/>
    <w:rsid w:val="0066794F"/>
    <w:rsid w:val="0067284E"/>
    <w:rsid w:val="006800D6"/>
    <w:rsid w:val="00685F31"/>
    <w:rsid w:val="00694035"/>
    <w:rsid w:val="00697647"/>
    <w:rsid w:val="006A07A7"/>
    <w:rsid w:val="006A4AE5"/>
    <w:rsid w:val="006A5938"/>
    <w:rsid w:val="006B47E3"/>
    <w:rsid w:val="006B7C6D"/>
    <w:rsid w:val="006C6EB3"/>
    <w:rsid w:val="006D4E15"/>
    <w:rsid w:val="006D66A5"/>
    <w:rsid w:val="006E04D7"/>
    <w:rsid w:val="006E21C4"/>
    <w:rsid w:val="006E6A03"/>
    <w:rsid w:val="006F1102"/>
    <w:rsid w:val="007155E8"/>
    <w:rsid w:val="00721D5D"/>
    <w:rsid w:val="007254CE"/>
    <w:rsid w:val="0073444B"/>
    <w:rsid w:val="00734989"/>
    <w:rsid w:val="007360D0"/>
    <w:rsid w:val="00741682"/>
    <w:rsid w:val="00742093"/>
    <w:rsid w:val="00742485"/>
    <w:rsid w:val="00743B22"/>
    <w:rsid w:val="0077200B"/>
    <w:rsid w:val="00782D73"/>
    <w:rsid w:val="007940FD"/>
    <w:rsid w:val="007A5E28"/>
    <w:rsid w:val="007A5EBD"/>
    <w:rsid w:val="007A769E"/>
    <w:rsid w:val="007B329A"/>
    <w:rsid w:val="007B75AF"/>
    <w:rsid w:val="007D1C64"/>
    <w:rsid w:val="007E24B9"/>
    <w:rsid w:val="007E53C6"/>
    <w:rsid w:val="008101D0"/>
    <w:rsid w:val="00820ECB"/>
    <w:rsid w:val="0082461A"/>
    <w:rsid w:val="0082507D"/>
    <w:rsid w:val="008477CD"/>
    <w:rsid w:val="008502D3"/>
    <w:rsid w:val="00851ACC"/>
    <w:rsid w:val="00860F2E"/>
    <w:rsid w:val="008619B4"/>
    <w:rsid w:val="008642AE"/>
    <w:rsid w:val="00865126"/>
    <w:rsid w:val="00865516"/>
    <w:rsid w:val="008678A2"/>
    <w:rsid w:val="008760FD"/>
    <w:rsid w:val="008840AC"/>
    <w:rsid w:val="00886F6A"/>
    <w:rsid w:val="0089770C"/>
    <w:rsid w:val="008A0A94"/>
    <w:rsid w:val="008B4F51"/>
    <w:rsid w:val="008B6A75"/>
    <w:rsid w:val="008C0BE3"/>
    <w:rsid w:val="008D3499"/>
    <w:rsid w:val="008E166E"/>
    <w:rsid w:val="008E443E"/>
    <w:rsid w:val="008F0268"/>
    <w:rsid w:val="008F726B"/>
    <w:rsid w:val="00900EBD"/>
    <w:rsid w:val="009010C5"/>
    <w:rsid w:val="009018A2"/>
    <w:rsid w:val="009049CA"/>
    <w:rsid w:val="009250EF"/>
    <w:rsid w:val="00926D13"/>
    <w:rsid w:val="00933E05"/>
    <w:rsid w:val="00937F4E"/>
    <w:rsid w:val="00940EB3"/>
    <w:rsid w:val="0094185B"/>
    <w:rsid w:val="00943F9B"/>
    <w:rsid w:val="00944729"/>
    <w:rsid w:val="0094508A"/>
    <w:rsid w:val="009558BE"/>
    <w:rsid w:val="00965977"/>
    <w:rsid w:val="0096725D"/>
    <w:rsid w:val="00970D70"/>
    <w:rsid w:val="00971FAF"/>
    <w:rsid w:val="00987652"/>
    <w:rsid w:val="0099392E"/>
    <w:rsid w:val="009A02A4"/>
    <w:rsid w:val="009A2806"/>
    <w:rsid w:val="009A40B9"/>
    <w:rsid w:val="009B1FAB"/>
    <w:rsid w:val="009D09BE"/>
    <w:rsid w:val="009D718E"/>
    <w:rsid w:val="009E0AD7"/>
    <w:rsid w:val="009E622B"/>
    <w:rsid w:val="009F53FD"/>
    <w:rsid w:val="009F614F"/>
    <w:rsid w:val="00A13BCD"/>
    <w:rsid w:val="00A26DDF"/>
    <w:rsid w:val="00A34558"/>
    <w:rsid w:val="00A403E7"/>
    <w:rsid w:val="00A45002"/>
    <w:rsid w:val="00A662E4"/>
    <w:rsid w:val="00A71784"/>
    <w:rsid w:val="00A72977"/>
    <w:rsid w:val="00A72D6F"/>
    <w:rsid w:val="00A7461C"/>
    <w:rsid w:val="00A930F9"/>
    <w:rsid w:val="00AA0139"/>
    <w:rsid w:val="00AA782A"/>
    <w:rsid w:val="00AA78EA"/>
    <w:rsid w:val="00AB5774"/>
    <w:rsid w:val="00AC6497"/>
    <w:rsid w:val="00AC7E18"/>
    <w:rsid w:val="00AD7DEE"/>
    <w:rsid w:val="00AE4C29"/>
    <w:rsid w:val="00AF4765"/>
    <w:rsid w:val="00AF6B73"/>
    <w:rsid w:val="00B0214A"/>
    <w:rsid w:val="00B04B23"/>
    <w:rsid w:val="00B067F0"/>
    <w:rsid w:val="00B14170"/>
    <w:rsid w:val="00B206B1"/>
    <w:rsid w:val="00B20BBC"/>
    <w:rsid w:val="00B21A26"/>
    <w:rsid w:val="00B25D30"/>
    <w:rsid w:val="00B25EB3"/>
    <w:rsid w:val="00B3143E"/>
    <w:rsid w:val="00B36306"/>
    <w:rsid w:val="00B4048B"/>
    <w:rsid w:val="00B470A4"/>
    <w:rsid w:val="00B55559"/>
    <w:rsid w:val="00B66CCE"/>
    <w:rsid w:val="00B70FB9"/>
    <w:rsid w:val="00B76AFF"/>
    <w:rsid w:val="00B77698"/>
    <w:rsid w:val="00B8121D"/>
    <w:rsid w:val="00B908D0"/>
    <w:rsid w:val="00B9521B"/>
    <w:rsid w:val="00B9737A"/>
    <w:rsid w:val="00BA20AF"/>
    <w:rsid w:val="00BB0CC5"/>
    <w:rsid w:val="00BB60ED"/>
    <w:rsid w:val="00BC7404"/>
    <w:rsid w:val="00BD4E88"/>
    <w:rsid w:val="00BD5794"/>
    <w:rsid w:val="00BE6AF3"/>
    <w:rsid w:val="00BF002A"/>
    <w:rsid w:val="00BF3C5C"/>
    <w:rsid w:val="00BF57C3"/>
    <w:rsid w:val="00BF63B1"/>
    <w:rsid w:val="00BF7058"/>
    <w:rsid w:val="00BF7A7A"/>
    <w:rsid w:val="00C054E4"/>
    <w:rsid w:val="00C06FFC"/>
    <w:rsid w:val="00C10539"/>
    <w:rsid w:val="00C40286"/>
    <w:rsid w:val="00C513A1"/>
    <w:rsid w:val="00C5656B"/>
    <w:rsid w:val="00C56BF0"/>
    <w:rsid w:val="00C56E1C"/>
    <w:rsid w:val="00C573B9"/>
    <w:rsid w:val="00C57E66"/>
    <w:rsid w:val="00C8158C"/>
    <w:rsid w:val="00C9167D"/>
    <w:rsid w:val="00C971CC"/>
    <w:rsid w:val="00CA0412"/>
    <w:rsid w:val="00CB1038"/>
    <w:rsid w:val="00CB2607"/>
    <w:rsid w:val="00CB3449"/>
    <w:rsid w:val="00CC3F31"/>
    <w:rsid w:val="00CC41E5"/>
    <w:rsid w:val="00CC5C11"/>
    <w:rsid w:val="00CC7E10"/>
    <w:rsid w:val="00CD1C70"/>
    <w:rsid w:val="00CD3E2C"/>
    <w:rsid w:val="00CD5270"/>
    <w:rsid w:val="00CF0979"/>
    <w:rsid w:val="00CF13F2"/>
    <w:rsid w:val="00CF477B"/>
    <w:rsid w:val="00D0350D"/>
    <w:rsid w:val="00D44E58"/>
    <w:rsid w:val="00D45346"/>
    <w:rsid w:val="00D5109E"/>
    <w:rsid w:val="00D51D1D"/>
    <w:rsid w:val="00D6526F"/>
    <w:rsid w:val="00D70101"/>
    <w:rsid w:val="00D74175"/>
    <w:rsid w:val="00D81E1B"/>
    <w:rsid w:val="00D867BE"/>
    <w:rsid w:val="00D91B71"/>
    <w:rsid w:val="00D933BC"/>
    <w:rsid w:val="00D9535F"/>
    <w:rsid w:val="00DA0C8E"/>
    <w:rsid w:val="00DA1DF7"/>
    <w:rsid w:val="00DA4DE4"/>
    <w:rsid w:val="00DB04B4"/>
    <w:rsid w:val="00DC1811"/>
    <w:rsid w:val="00DC6102"/>
    <w:rsid w:val="00DD4807"/>
    <w:rsid w:val="00DE0D78"/>
    <w:rsid w:val="00DE1E62"/>
    <w:rsid w:val="00DF5FC0"/>
    <w:rsid w:val="00E00416"/>
    <w:rsid w:val="00E02E0C"/>
    <w:rsid w:val="00E16A5B"/>
    <w:rsid w:val="00E17D14"/>
    <w:rsid w:val="00E21367"/>
    <w:rsid w:val="00E21847"/>
    <w:rsid w:val="00E2490A"/>
    <w:rsid w:val="00E3082B"/>
    <w:rsid w:val="00E30CD2"/>
    <w:rsid w:val="00E33B3D"/>
    <w:rsid w:val="00E33C54"/>
    <w:rsid w:val="00E34B9C"/>
    <w:rsid w:val="00E3506A"/>
    <w:rsid w:val="00E44A7B"/>
    <w:rsid w:val="00E55C32"/>
    <w:rsid w:val="00E745F7"/>
    <w:rsid w:val="00E74ED6"/>
    <w:rsid w:val="00E7573A"/>
    <w:rsid w:val="00E76268"/>
    <w:rsid w:val="00E7747F"/>
    <w:rsid w:val="00E77FD0"/>
    <w:rsid w:val="00E80073"/>
    <w:rsid w:val="00E82168"/>
    <w:rsid w:val="00E82338"/>
    <w:rsid w:val="00E84F37"/>
    <w:rsid w:val="00E91D1C"/>
    <w:rsid w:val="00E92118"/>
    <w:rsid w:val="00E96C08"/>
    <w:rsid w:val="00EA074E"/>
    <w:rsid w:val="00EA440A"/>
    <w:rsid w:val="00EB2096"/>
    <w:rsid w:val="00EB46FA"/>
    <w:rsid w:val="00EC125A"/>
    <w:rsid w:val="00ED2E60"/>
    <w:rsid w:val="00EE4B63"/>
    <w:rsid w:val="00EE5E57"/>
    <w:rsid w:val="00EE725D"/>
    <w:rsid w:val="00EF7498"/>
    <w:rsid w:val="00F118CA"/>
    <w:rsid w:val="00F16E80"/>
    <w:rsid w:val="00F1754F"/>
    <w:rsid w:val="00F2669E"/>
    <w:rsid w:val="00F3237C"/>
    <w:rsid w:val="00F565C7"/>
    <w:rsid w:val="00F616C4"/>
    <w:rsid w:val="00F74448"/>
    <w:rsid w:val="00F80FCC"/>
    <w:rsid w:val="00F85E15"/>
    <w:rsid w:val="00F86F27"/>
    <w:rsid w:val="00F96E01"/>
    <w:rsid w:val="00FA0027"/>
    <w:rsid w:val="00FA4671"/>
    <w:rsid w:val="00FB0B10"/>
    <w:rsid w:val="00FD3BB9"/>
    <w:rsid w:val="00FD4EDC"/>
    <w:rsid w:val="00FF3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CC6D"/>
  <w15:docId w15:val="{A9A72284-DDBE-4D76-A342-ED79384D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BC0"/>
    <w:rPr>
      <w:rFonts w:ascii="Tahoma" w:hAnsi="Tahoma" w:cs="Tahoma"/>
      <w:sz w:val="16"/>
      <w:szCs w:val="16"/>
    </w:rPr>
  </w:style>
  <w:style w:type="table" w:styleId="TableGrid">
    <w:name w:val="Table Grid"/>
    <w:basedOn w:val="TableNormal"/>
    <w:uiPriority w:val="59"/>
    <w:rsid w:val="000D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346"/>
    <w:pPr>
      <w:ind w:left="720"/>
      <w:contextualSpacing/>
    </w:pPr>
  </w:style>
  <w:style w:type="character" w:styleId="Hyperlink">
    <w:name w:val="Hyperlink"/>
    <w:basedOn w:val="DefaultParagraphFont"/>
    <w:uiPriority w:val="99"/>
    <w:unhideWhenUsed/>
    <w:rsid w:val="000D1E92"/>
    <w:rPr>
      <w:color w:val="0000FF" w:themeColor="hyperlink"/>
      <w:u w:val="single"/>
    </w:rPr>
  </w:style>
  <w:style w:type="paragraph" w:styleId="Header">
    <w:name w:val="header"/>
    <w:basedOn w:val="Normal"/>
    <w:link w:val="HeaderChar"/>
    <w:uiPriority w:val="99"/>
    <w:unhideWhenUsed/>
    <w:rsid w:val="001A0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13"/>
  </w:style>
  <w:style w:type="paragraph" w:styleId="Footer">
    <w:name w:val="footer"/>
    <w:basedOn w:val="Normal"/>
    <w:link w:val="FooterChar"/>
    <w:uiPriority w:val="99"/>
    <w:unhideWhenUsed/>
    <w:rsid w:val="001A0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13"/>
  </w:style>
  <w:style w:type="paragraph" w:styleId="Revision">
    <w:name w:val="Revision"/>
    <w:hidden/>
    <w:uiPriority w:val="99"/>
    <w:semiHidden/>
    <w:rsid w:val="0007177B"/>
    <w:pPr>
      <w:spacing w:after="0" w:line="240" w:lineRule="auto"/>
    </w:pPr>
  </w:style>
  <w:style w:type="paragraph" w:styleId="FootnoteText">
    <w:name w:val="footnote text"/>
    <w:basedOn w:val="Normal"/>
    <w:link w:val="FootnoteTextChar"/>
    <w:uiPriority w:val="99"/>
    <w:unhideWhenUsed/>
    <w:rsid w:val="00E3082B"/>
    <w:pPr>
      <w:spacing w:after="0" w:line="240" w:lineRule="auto"/>
    </w:pPr>
    <w:rPr>
      <w:sz w:val="20"/>
      <w:szCs w:val="20"/>
    </w:rPr>
  </w:style>
  <w:style w:type="character" w:customStyle="1" w:styleId="FootnoteTextChar">
    <w:name w:val="Footnote Text Char"/>
    <w:basedOn w:val="DefaultParagraphFont"/>
    <w:link w:val="FootnoteText"/>
    <w:uiPriority w:val="99"/>
    <w:rsid w:val="00E3082B"/>
    <w:rPr>
      <w:sz w:val="20"/>
      <w:szCs w:val="20"/>
    </w:rPr>
  </w:style>
  <w:style w:type="character" w:styleId="FootnoteReference">
    <w:name w:val="footnote reference"/>
    <w:basedOn w:val="DefaultParagraphFont"/>
    <w:uiPriority w:val="99"/>
    <w:semiHidden/>
    <w:unhideWhenUsed/>
    <w:rsid w:val="00E3082B"/>
    <w:rPr>
      <w:vertAlign w:val="superscript"/>
    </w:rPr>
  </w:style>
  <w:style w:type="paragraph" w:styleId="NoSpacing">
    <w:name w:val="No Spacing"/>
    <w:uiPriority w:val="1"/>
    <w:qFormat/>
    <w:rsid w:val="00480D2C"/>
    <w:pPr>
      <w:spacing w:after="0" w:line="240" w:lineRule="auto"/>
    </w:pPr>
    <w:rPr>
      <w:lang w:val="en-US"/>
    </w:rPr>
  </w:style>
  <w:style w:type="paragraph" w:customStyle="1" w:styleId="p-introduction">
    <w:name w:val="p-introduction"/>
    <w:basedOn w:val="Normal"/>
    <w:rsid w:val="00E91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9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92913"/>
    <w:rPr>
      <w:color w:val="605E5C"/>
      <w:shd w:val="clear" w:color="auto" w:fill="E1DFDD"/>
    </w:rPr>
  </w:style>
  <w:style w:type="character" w:styleId="FollowedHyperlink">
    <w:name w:val="FollowedHyperlink"/>
    <w:basedOn w:val="DefaultParagraphFont"/>
    <w:uiPriority w:val="99"/>
    <w:semiHidden/>
    <w:unhideWhenUsed/>
    <w:rsid w:val="00944729"/>
    <w:rPr>
      <w:color w:val="800080" w:themeColor="followedHyperlink"/>
      <w:u w:val="single"/>
    </w:rPr>
  </w:style>
  <w:style w:type="character" w:styleId="CommentReference">
    <w:name w:val="annotation reference"/>
    <w:basedOn w:val="DefaultParagraphFont"/>
    <w:uiPriority w:val="99"/>
    <w:semiHidden/>
    <w:unhideWhenUsed/>
    <w:rsid w:val="00F2669E"/>
    <w:rPr>
      <w:sz w:val="16"/>
      <w:szCs w:val="16"/>
    </w:rPr>
  </w:style>
  <w:style w:type="paragraph" w:styleId="CommentText">
    <w:name w:val="annotation text"/>
    <w:basedOn w:val="Normal"/>
    <w:link w:val="CommentTextChar"/>
    <w:uiPriority w:val="99"/>
    <w:unhideWhenUsed/>
    <w:rsid w:val="00F2669E"/>
    <w:pPr>
      <w:spacing w:line="240" w:lineRule="auto"/>
    </w:pPr>
    <w:rPr>
      <w:sz w:val="20"/>
      <w:szCs w:val="20"/>
    </w:rPr>
  </w:style>
  <w:style w:type="character" w:customStyle="1" w:styleId="CommentTextChar">
    <w:name w:val="Comment Text Char"/>
    <w:basedOn w:val="DefaultParagraphFont"/>
    <w:link w:val="CommentText"/>
    <w:uiPriority w:val="99"/>
    <w:rsid w:val="00F2669E"/>
    <w:rPr>
      <w:sz w:val="20"/>
      <w:szCs w:val="20"/>
    </w:rPr>
  </w:style>
  <w:style w:type="paragraph" w:styleId="CommentSubject">
    <w:name w:val="annotation subject"/>
    <w:basedOn w:val="CommentText"/>
    <w:next w:val="CommentText"/>
    <w:link w:val="CommentSubjectChar"/>
    <w:uiPriority w:val="99"/>
    <w:semiHidden/>
    <w:unhideWhenUsed/>
    <w:rsid w:val="00F2669E"/>
    <w:rPr>
      <w:b/>
      <w:bCs/>
    </w:rPr>
  </w:style>
  <w:style w:type="character" w:customStyle="1" w:styleId="CommentSubjectChar">
    <w:name w:val="Comment Subject Char"/>
    <w:basedOn w:val="CommentTextChar"/>
    <w:link w:val="CommentSubject"/>
    <w:uiPriority w:val="99"/>
    <w:semiHidden/>
    <w:rsid w:val="00F266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8317">
      <w:bodyDiv w:val="1"/>
      <w:marLeft w:val="0"/>
      <w:marRight w:val="0"/>
      <w:marTop w:val="0"/>
      <w:marBottom w:val="0"/>
      <w:divBdr>
        <w:top w:val="none" w:sz="0" w:space="0" w:color="auto"/>
        <w:left w:val="none" w:sz="0" w:space="0" w:color="auto"/>
        <w:bottom w:val="none" w:sz="0" w:space="0" w:color="auto"/>
        <w:right w:val="none" w:sz="0" w:space="0" w:color="auto"/>
      </w:divBdr>
    </w:div>
    <w:div w:id="2112816877">
      <w:bodyDiv w:val="1"/>
      <w:marLeft w:val="0"/>
      <w:marRight w:val="0"/>
      <w:marTop w:val="0"/>
      <w:marBottom w:val="0"/>
      <w:divBdr>
        <w:top w:val="none" w:sz="0" w:space="0" w:color="auto"/>
        <w:left w:val="none" w:sz="0" w:space="0" w:color="auto"/>
        <w:bottom w:val="none" w:sz="0" w:space="0" w:color="auto"/>
        <w:right w:val="none" w:sz="0" w:space="0" w:color="auto"/>
      </w:divBdr>
      <w:divsChild>
        <w:div w:id="879437910">
          <w:marLeft w:val="0"/>
          <w:marRight w:val="0"/>
          <w:marTop w:val="0"/>
          <w:marBottom w:val="0"/>
          <w:divBdr>
            <w:top w:val="none" w:sz="0" w:space="0" w:color="auto"/>
            <w:left w:val="none" w:sz="0" w:space="0" w:color="auto"/>
            <w:bottom w:val="none" w:sz="0" w:space="0" w:color="auto"/>
            <w:right w:val="none" w:sz="0" w:space="0" w:color="auto"/>
          </w:divBdr>
          <w:divsChild>
            <w:div w:id="20449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ts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884B99F5C10498D667ED19E68A254" ma:contentTypeVersion="13" ma:contentTypeDescription="Create a new document." ma:contentTypeScope="" ma:versionID="497b66c1623fba8afdb8445732ce997a">
  <xsd:schema xmlns:xsd="http://www.w3.org/2001/XMLSchema" xmlns:xs="http://www.w3.org/2001/XMLSchema" xmlns:p="http://schemas.microsoft.com/office/2006/metadata/properties" xmlns:ns2="b0dec3fa-9d3a-448f-a2c4-28cf4220fff0" xmlns:ns3="dcaeb6ab-38d1-4b09-8ad4-e62366c5e6ee" targetNamespace="http://schemas.microsoft.com/office/2006/metadata/properties" ma:root="true" ma:fieldsID="32e47f4dafe13966f485cb39ab5f490b" ns2:_="" ns3:_="">
    <xsd:import namespace="b0dec3fa-9d3a-448f-a2c4-28cf4220fff0"/>
    <xsd:import namespace="dcaeb6ab-38d1-4b09-8ad4-e62366c5e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ec3fa-9d3a-448f-a2c4-28cf4220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aeb6ab-38d1-4b09-8ad4-e62366c5e6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269FC-950C-45E4-87CB-000CD6234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ec3fa-9d3a-448f-a2c4-28cf4220fff0"/>
    <ds:schemaRef ds:uri="dcaeb6ab-38d1-4b09-8ad4-e62366c5e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37D52-0633-4812-A6E1-0760B98605A4}">
  <ds:schemaRefs>
    <ds:schemaRef ds:uri="http://schemas.openxmlformats.org/officeDocument/2006/bibliography"/>
  </ds:schemaRefs>
</ds:datastoreItem>
</file>

<file path=customXml/itemProps3.xml><?xml version="1.0" encoding="utf-8"?>
<ds:datastoreItem xmlns:ds="http://schemas.openxmlformats.org/officeDocument/2006/customXml" ds:itemID="{1E29BE97-918D-47BD-B4F3-FB95D1C6B57B}">
  <ds:schemaRefs>
    <ds:schemaRef ds:uri="http://schemas.microsoft.com/sharepoint/v3/contenttype/forms"/>
  </ds:schemaRefs>
</ds:datastoreItem>
</file>

<file path=customXml/itemProps4.xml><?xml version="1.0" encoding="utf-8"?>
<ds:datastoreItem xmlns:ds="http://schemas.openxmlformats.org/officeDocument/2006/customXml" ds:itemID="{0F6248B0-443F-4FF2-A491-6B128C8BF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Thurman</dc:creator>
  <cp:lastModifiedBy>Sarah Thurman</cp:lastModifiedBy>
  <cp:revision>4</cp:revision>
  <cp:lastPrinted>2022-04-28T15:07:00Z</cp:lastPrinted>
  <dcterms:created xsi:type="dcterms:W3CDTF">2022-05-04T12:08:00Z</dcterms:created>
  <dcterms:modified xsi:type="dcterms:W3CDTF">2022-05-05T09:07:00Z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0x010100488884B99F5C10498D667ED19E68A254</vt:lpwstr>
  </property>
  <property fmtid="{D5CDD505-2E9C-101B-9397-08002B2CF9AE}" pid="3" name="Order">
    <vt:r8>31800</vt:r8>
  </property>
</Properties>
</file>